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722" w:rsidRDefault="00F35036" w:rsidP="008F1722">
      <w:r w:rsidRPr="00F35036">
        <w:rPr>
          <w:b/>
        </w:rPr>
        <w:t xml:space="preserve">Entering a Pay Increase (adjustment, retention, </w:t>
      </w:r>
      <w:r w:rsidR="0027793D">
        <w:rPr>
          <w:b/>
        </w:rPr>
        <w:t xml:space="preserve">promotion, </w:t>
      </w:r>
      <w:r w:rsidRPr="00F35036">
        <w:rPr>
          <w:b/>
        </w:rPr>
        <w:t>etc.)</w:t>
      </w:r>
      <w:r w:rsidR="008F1722" w:rsidRPr="008F1722">
        <w:t xml:space="preserve"> </w:t>
      </w:r>
      <w:r w:rsidR="008F1722">
        <w:t>QRG is pretty good.</w:t>
      </w:r>
    </w:p>
    <w:p w:rsidR="00F35036" w:rsidRDefault="00F35036"/>
    <w:p w:rsidR="00F35036" w:rsidRDefault="0031274B">
      <w:pPr>
        <w:rPr>
          <w:rStyle w:val="Hyperlink"/>
        </w:rPr>
      </w:pPr>
      <w:hyperlink r:id="rId7" w:history="1">
        <w:r w:rsidR="00F35036" w:rsidRPr="00F35036">
          <w:rPr>
            <w:rStyle w:val="Hyperlink"/>
          </w:rPr>
          <w:t>Entering a Pay Increase Using Comp Rate Codes</w:t>
        </w:r>
      </w:hyperlink>
    </w:p>
    <w:p w:rsidR="009305F3" w:rsidRDefault="009305F3"/>
    <w:p w:rsidR="009305F3" w:rsidRDefault="009305F3" w:rsidP="009305F3">
      <w:pPr>
        <w:rPr>
          <w:b/>
          <w:bCs/>
          <w:color w:val="4472C4" w:themeColor="accent1"/>
        </w:rPr>
      </w:pPr>
      <w:r w:rsidRPr="008F1722">
        <w:rPr>
          <w:b/>
          <w:bCs/>
          <w:color w:val="4472C4" w:themeColor="accent1"/>
        </w:rPr>
        <w:t>Nav&gt;Navigator&gt;Workforce Administration&gt;Job Information&gt;Job Data</w:t>
      </w:r>
    </w:p>
    <w:p w:rsidR="008F1722" w:rsidRPr="008F1722" w:rsidRDefault="008F1722" w:rsidP="009305F3"/>
    <w:p w:rsidR="009305F3" w:rsidRPr="009305F3" w:rsidRDefault="009305F3" w:rsidP="009305F3">
      <w:pPr>
        <w:numPr>
          <w:ilvl w:val="0"/>
          <w:numId w:val="24"/>
        </w:numPr>
      </w:pPr>
      <w:r w:rsidRPr="009305F3">
        <w:t>The</w:t>
      </w:r>
      <w:r w:rsidR="008F1722">
        <w:t xml:space="preserve"> </w:t>
      </w:r>
      <w:r w:rsidRPr="009305F3">
        <w:rPr>
          <w:b/>
          <w:bCs/>
        </w:rPr>
        <w:t>Job Data</w:t>
      </w:r>
      <w:r w:rsidR="008F1722">
        <w:t xml:space="preserve"> </w:t>
      </w:r>
      <w:r w:rsidRPr="009305F3">
        <w:t>search page displays.</w:t>
      </w:r>
    </w:p>
    <w:p w:rsidR="009305F3" w:rsidRPr="009305F3" w:rsidRDefault="009305F3" w:rsidP="009305F3">
      <w:pPr>
        <w:numPr>
          <w:ilvl w:val="0"/>
          <w:numId w:val="24"/>
        </w:numPr>
      </w:pPr>
      <w:r w:rsidRPr="009305F3">
        <w:t>Enter the Empl ID</w:t>
      </w:r>
      <w:r w:rsidR="008F1722">
        <w:rPr>
          <w:b/>
          <w:bCs/>
        </w:rPr>
        <w:t xml:space="preserve"> </w:t>
      </w:r>
      <w:r w:rsidRPr="009305F3">
        <w:t>in the</w:t>
      </w:r>
      <w:r w:rsidR="008F1722">
        <w:t xml:space="preserve"> </w:t>
      </w:r>
      <w:r w:rsidRPr="009305F3">
        <w:rPr>
          <w:b/>
          <w:bCs/>
        </w:rPr>
        <w:t>Empl ID</w:t>
      </w:r>
      <w:r w:rsidR="008F1722">
        <w:t xml:space="preserve"> </w:t>
      </w:r>
      <w:r w:rsidRPr="009305F3">
        <w:t>field.</w:t>
      </w:r>
    </w:p>
    <w:p w:rsidR="009305F3" w:rsidRPr="009305F3" w:rsidRDefault="009305F3" w:rsidP="009305F3">
      <w:pPr>
        <w:numPr>
          <w:ilvl w:val="0"/>
          <w:numId w:val="24"/>
        </w:numPr>
      </w:pPr>
      <w:r w:rsidRPr="009305F3">
        <w:t>Select the</w:t>
      </w:r>
      <w:r w:rsidR="008F1722">
        <w:t xml:space="preserve"> </w:t>
      </w:r>
      <w:r w:rsidRPr="009305F3">
        <w:rPr>
          <w:b/>
          <w:bCs/>
        </w:rPr>
        <w:t>Search</w:t>
      </w:r>
      <w:r w:rsidR="008F1722">
        <w:t xml:space="preserve"> </w:t>
      </w:r>
      <w:r w:rsidRPr="009305F3">
        <w:t>button.</w:t>
      </w:r>
    </w:p>
    <w:p w:rsidR="009305F3" w:rsidRPr="009305F3" w:rsidRDefault="009305F3" w:rsidP="009305F3">
      <w:pPr>
        <w:numPr>
          <w:ilvl w:val="0"/>
          <w:numId w:val="24"/>
        </w:numPr>
      </w:pPr>
      <w:r w:rsidRPr="009305F3">
        <w:t>Select the appropriate</w:t>
      </w:r>
      <w:r w:rsidR="008F1722">
        <w:t xml:space="preserve"> </w:t>
      </w:r>
      <w:r w:rsidRPr="009305F3">
        <w:rPr>
          <w:b/>
          <w:bCs/>
        </w:rPr>
        <w:t>Empl Record</w:t>
      </w:r>
      <w:r w:rsidR="008F1722">
        <w:rPr>
          <w:b/>
          <w:bCs/>
        </w:rPr>
        <w:t xml:space="preserve"> </w:t>
      </w:r>
      <w:r w:rsidRPr="009305F3">
        <w:t>from the</w:t>
      </w:r>
      <w:r w:rsidR="008F1722">
        <w:t xml:space="preserve"> </w:t>
      </w:r>
      <w:r w:rsidRPr="009305F3">
        <w:rPr>
          <w:b/>
          <w:bCs/>
        </w:rPr>
        <w:t>Search Results</w:t>
      </w:r>
      <w:r w:rsidR="008F1722">
        <w:t xml:space="preserve"> </w:t>
      </w:r>
      <w:r w:rsidRPr="009305F3">
        <w:t>section.</w:t>
      </w:r>
    </w:p>
    <w:p w:rsidR="009305F3" w:rsidRPr="009305F3" w:rsidRDefault="009305F3" w:rsidP="009305F3">
      <w:pPr>
        <w:numPr>
          <w:ilvl w:val="0"/>
          <w:numId w:val="25"/>
        </w:numPr>
      </w:pPr>
      <w:r w:rsidRPr="009305F3">
        <w:t>The</w:t>
      </w:r>
      <w:r w:rsidR="008F1722">
        <w:t xml:space="preserve"> </w:t>
      </w:r>
      <w:r w:rsidRPr="009305F3">
        <w:rPr>
          <w:b/>
          <w:bCs/>
        </w:rPr>
        <w:t>Job Data</w:t>
      </w:r>
      <w:r w:rsidR="008F1722">
        <w:t xml:space="preserve"> </w:t>
      </w:r>
      <w:r w:rsidRPr="009305F3">
        <w:t>page displays.</w:t>
      </w:r>
    </w:p>
    <w:p w:rsidR="009305F3" w:rsidRPr="009305F3" w:rsidRDefault="009305F3" w:rsidP="009305F3">
      <w:pPr>
        <w:numPr>
          <w:ilvl w:val="0"/>
          <w:numId w:val="25"/>
        </w:numPr>
      </w:pPr>
      <w:r w:rsidRPr="009305F3">
        <w:t>The</w:t>
      </w:r>
      <w:r w:rsidR="008F1722">
        <w:t xml:space="preserve"> </w:t>
      </w:r>
      <w:r w:rsidRPr="009305F3">
        <w:rPr>
          <w:b/>
          <w:bCs/>
        </w:rPr>
        <w:t>Work Location</w:t>
      </w:r>
      <w:r w:rsidR="008F1722">
        <w:t xml:space="preserve"> </w:t>
      </w:r>
      <w:r w:rsidRPr="009305F3">
        <w:t>page contains information about an employee’s job, such as position, regulatory region, company, department and location. Information on this page reflects the last action for this employee.</w:t>
      </w:r>
    </w:p>
    <w:p w:rsidR="009305F3" w:rsidRPr="009305F3" w:rsidRDefault="009305F3" w:rsidP="009305F3">
      <w:pPr>
        <w:numPr>
          <w:ilvl w:val="0"/>
          <w:numId w:val="25"/>
        </w:numPr>
      </w:pPr>
      <w:r w:rsidRPr="009305F3">
        <w:t>Select the</w:t>
      </w:r>
      <w:r w:rsidR="008F1722">
        <w:t xml:space="preserve"> </w:t>
      </w:r>
      <w:r w:rsidRPr="009305F3">
        <w:rPr>
          <w:b/>
          <w:bCs/>
        </w:rPr>
        <w:t>Add a Row</w:t>
      </w:r>
      <w:r w:rsidR="008F1722">
        <w:t xml:space="preserve"> </w:t>
      </w:r>
      <w:r w:rsidRPr="009305F3">
        <w:t>button to record a pay rate change.</w:t>
      </w:r>
    </w:p>
    <w:p w:rsidR="009305F3" w:rsidRPr="009305F3" w:rsidRDefault="009305F3" w:rsidP="009305F3">
      <w:pPr>
        <w:numPr>
          <w:ilvl w:val="0"/>
          <w:numId w:val="25"/>
        </w:numPr>
      </w:pPr>
      <w:r w:rsidRPr="009305F3">
        <w:t>Enter the new Effective Date in the</w:t>
      </w:r>
      <w:r w:rsidR="008F1722">
        <w:t xml:space="preserve"> </w:t>
      </w:r>
      <w:r w:rsidRPr="009305F3">
        <w:rPr>
          <w:b/>
          <w:bCs/>
        </w:rPr>
        <w:t>Effective Date</w:t>
      </w:r>
      <w:r w:rsidR="008F1722">
        <w:t xml:space="preserve"> </w:t>
      </w:r>
      <w:r w:rsidRPr="009305F3">
        <w:t>field. The system will default to today’s date, modify if needed.</w:t>
      </w:r>
    </w:p>
    <w:p w:rsidR="009305F3" w:rsidRPr="009305F3" w:rsidRDefault="009305F3" w:rsidP="009305F3">
      <w:pPr>
        <w:numPr>
          <w:ilvl w:val="0"/>
          <w:numId w:val="25"/>
        </w:numPr>
      </w:pPr>
      <w:r w:rsidRPr="009305F3">
        <w:t>Select</w:t>
      </w:r>
      <w:r w:rsidR="008F1722">
        <w:t xml:space="preserve"> </w:t>
      </w:r>
      <w:r w:rsidRPr="009305F3">
        <w:rPr>
          <w:b/>
          <w:bCs/>
        </w:rPr>
        <w:t>Pay Rate Change</w:t>
      </w:r>
      <w:r w:rsidR="008F1722">
        <w:t xml:space="preserve"> </w:t>
      </w:r>
      <w:r w:rsidRPr="009305F3">
        <w:t>from the Action drop-down menu.</w:t>
      </w:r>
    </w:p>
    <w:p w:rsidR="009305F3" w:rsidRPr="00F53BB7" w:rsidRDefault="009305F3" w:rsidP="009305F3">
      <w:pPr>
        <w:numPr>
          <w:ilvl w:val="0"/>
          <w:numId w:val="25"/>
        </w:numPr>
      </w:pPr>
      <w:r w:rsidRPr="009305F3">
        <w:t>Select</w:t>
      </w:r>
      <w:r w:rsidR="008F1722">
        <w:t xml:space="preserve"> </w:t>
      </w:r>
      <w:r w:rsidRPr="009305F3">
        <w:rPr>
          <w:b/>
          <w:bCs/>
        </w:rPr>
        <w:t>Adjustment</w:t>
      </w:r>
      <w:r w:rsidR="00F53BB7">
        <w:rPr>
          <w:b/>
          <w:bCs/>
        </w:rPr>
        <w:t>, promotion</w:t>
      </w:r>
      <w:r w:rsidR="0048673B" w:rsidRPr="00F53BB7">
        <w:rPr>
          <w:b/>
        </w:rPr>
        <w:t xml:space="preserve"> or </w:t>
      </w:r>
      <w:r w:rsidR="00F53BB7" w:rsidRPr="00F53BB7">
        <w:rPr>
          <w:b/>
        </w:rPr>
        <w:t xml:space="preserve">whatever the reason </w:t>
      </w:r>
      <w:r w:rsidRPr="009305F3">
        <w:t>from the Reason drop-down menu.</w:t>
      </w:r>
      <w:r w:rsidR="000F61AD" w:rsidRPr="000F61AD">
        <w:rPr>
          <w:color w:val="FF0000"/>
        </w:rPr>
        <w:t xml:space="preserve"> </w:t>
      </w:r>
    </w:p>
    <w:p w:rsidR="00F53BB7" w:rsidRPr="009305F3" w:rsidRDefault="00F53BB7" w:rsidP="00F53BB7">
      <w:pPr>
        <w:ind w:left="720"/>
      </w:pPr>
    </w:p>
    <w:p w:rsidR="009305F3" w:rsidRDefault="00F53BB7" w:rsidP="009305F3">
      <w:r>
        <w:rPr>
          <w:noProof/>
        </w:rPr>
        <w:drawing>
          <wp:inline distT="0" distB="0" distL="0" distR="0" wp14:anchorId="7BA491EA" wp14:editId="74DF013C">
            <wp:extent cx="6781800" cy="2098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33739" cy="2114371"/>
                    </a:xfrm>
                    <a:prstGeom prst="rect">
                      <a:avLst/>
                    </a:prstGeom>
                  </pic:spPr>
                </pic:pic>
              </a:graphicData>
            </a:graphic>
          </wp:inline>
        </w:drawing>
      </w:r>
    </w:p>
    <w:p w:rsidR="008F1722" w:rsidRPr="009305F3" w:rsidRDefault="008F1722" w:rsidP="009305F3"/>
    <w:p w:rsidR="009305F3" w:rsidRPr="009305F3" w:rsidRDefault="009305F3" w:rsidP="009305F3">
      <w:pPr>
        <w:numPr>
          <w:ilvl w:val="0"/>
          <w:numId w:val="26"/>
        </w:numPr>
      </w:pPr>
      <w:r w:rsidRPr="009305F3">
        <w:t>Select the</w:t>
      </w:r>
      <w:r w:rsidR="008F1722">
        <w:t xml:space="preserve"> </w:t>
      </w:r>
      <w:r w:rsidRPr="009305F3">
        <w:rPr>
          <w:b/>
          <w:bCs/>
        </w:rPr>
        <w:t>Compensation</w:t>
      </w:r>
      <w:r w:rsidR="008F1722">
        <w:t xml:space="preserve"> </w:t>
      </w:r>
      <w:r w:rsidRPr="009305F3">
        <w:t>tab.</w:t>
      </w:r>
    </w:p>
    <w:p w:rsidR="009305F3" w:rsidRPr="009305F3" w:rsidRDefault="009305F3" w:rsidP="009305F3">
      <w:pPr>
        <w:numPr>
          <w:ilvl w:val="0"/>
          <w:numId w:val="26"/>
        </w:numPr>
      </w:pPr>
      <w:r w:rsidRPr="009305F3">
        <w:t>The Compensation page displays. Use the Compensation page to specify the compensation rate for an employee.</w:t>
      </w:r>
    </w:p>
    <w:p w:rsidR="009305F3" w:rsidRPr="009305F3" w:rsidRDefault="009305F3" w:rsidP="009305F3">
      <w:pPr>
        <w:numPr>
          <w:ilvl w:val="0"/>
          <w:numId w:val="26"/>
        </w:numPr>
      </w:pPr>
      <w:r w:rsidRPr="009305F3">
        <w:t>Select the appropriate</w:t>
      </w:r>
      <w:r w:rsidR="008F1722">
        <w:t xml:space="preserve"> </w:t>
      </w:r>
      <w:r w:rsidRPr="009305F3">
        <w:rPr>
          <w:b/>
          <w:bCs/>
        </w:rPr>
        <w:t>Rate Code</w:t>
      </w:r>
      <w:r w:rsidRPr="009305F3">
        <w:t>. NAANNL and NAHRLY are currently the only options used.</w:t>
      </w:r>
    </w:p>
    <w:p w:rsidR="009305F3" w:rsidRPr="009305F3" w:rsidRDefault="009305F3" w:rsidP="009305F3">
      <w:pPr>
        <w:numPr>
          <w:ilvl w:val="0"/>
          <w:numId w:val="26"/>
        </w:numPr>
      </w:pPr>
      <w:r w:rsidRPr="009305F3">
        <w:t>Enter the new pay rate in the</w:t>
      </w:r>
      <w:r w:rsidR="008F1722">
        <w:t xml:space="preserve"> </w:t>
      </w:r>
      <w:r w:rsidRPr="009305F3">
        <w:rPr>
          <w:b/>
          <w:bCs/>
        </w:rPr>
        <w:t>Comp Rate</w:t>
      </w:r>
      <w:r w:rsidR="008F1722">
        <w:t xml:space="preserve"> </w:t>
      </w:r>
      <w:r w:rsidRPr="009305F3">
        <w:t>field.</w:t>
      </w:r>
      <w:r w:rsidR="0027793D">
        <w:t xml:space="preserve"> </w:t>
      </w:r>
      <w:r w:rsidR="0027793D" w:rsidRPr="0027793D">
        <w:rPr>
          <w:b/>
          <w:color w:val="FF0000"/>
        </w:rPr>
        <w:t>SEE BELOW</w:t>
      </w:r>
    </w:p>
    <w:p w:rsidR="009305F3" w:rsidRPr="009305F3" w:rsidRDefault="009305F3" w:rsidP="009305F3">
      <w:pPr>
        <w:numPr>
          <w:ilvl w:val="0"/>
          <w:numId w:val="26"/>
        </w:numPr>
      </w:pPr>
      <w:r w:rsidRPr="009305F3">
        <w:t>Select the</w:t>
      </w:r>
      <w:r w:rsidR="008F1722">
        <w:t xml:space="preserve"> </w:t>
      </w:r>
      <w:r w:rsidRPr="009305F3">
        <w:rPr>
          <w:b/>
          <w:bCs/>
        </w:rPr>
        <w:t>Calculate Compensation</w:t>
      </w:r>
      <w:r w:rsidR="008F1722">
        <w:t xml:space="preserve"> </w:t>
      </w:r>
      <w:r w:rsidRPr="009305F3">
        <w:t>button.</w:t>
      </w:r>
    </w:p>
    <w:p w:rsidR="009305F3" w:rsidRPr="009305F3" w:rsidRDefault="009305F3" w:rsidP="009305F3">
      <w:pPr>
        <w:numPr>
          <w:ilvl w:val="0"/>
          <w:numId w:val="26"/>
        </w:numPr>
      </w:pPr>
      <w:r w:rsidRPr="009305F3">
        <w:t>Select the</w:t>
      </w:r>
      <w:r w:rsidR="008F1722">
        <w:t xml:space="preserve"> </w:t>
      </w:r>
      <w:r w:rsidRPr="009305F3">
        <w:rPr>
          <w:b/>
          <w:bCs/>
        </w:rPr>
        <w:t>Save</w:t>
      </w:r>
      <w:r w:rsidR="008F1722">
        <w:t xml:space="preserve"> </w:t>
      </w:r>
      <w:r w:rsidRPr="009305F3">
        <w:t>button.</w:t>
      </w:r>
    </w:p>
    <w:p w:rsidR="009305F3" w:rsidRPr="009305F3" w:rsidRDefault="009305F3" w:rsidP="009305F3">
      <w:pPr>
        <w:numPr>
          <w:ilvl w:val="0"/>
          <w:numId w:val="27"/>
        </w:numPr>
      </w:pPr>
      <w:r w:rsidRPr="009305F3">
        <w:t>The process to enter pay increases using comp rate codes is now complete.</w:t>
      </w:r>
    </w:p>
    <w:p w:rsidR="009305F3" w:rsidRPr="009305F3" w:rsidRDefault="009305F3" w:rsidP="009305F3">
      <w:pPr>
        <w:numPr>
          <w:ilvl w:val="0"/>
          <w:numId w:val="27"/>
        </w:numPr>
      </w:pPr>
      <w:r w:rsidRPr="009305F3">
        <w:t>End of procedure.</w:t>
      </w:r>
    </w:p>
    <w:p w:rsidR="009305F3" w:rsidRDefault="009305F3"/>
    <w:p w:rsidR="000F61AD" w:rsidRDefault="000F61AD" w:rsidP="000F61AD">
      <w:r>
        <w:t>Enter annual salary if FT 12 month, leave the Frequency at S and hit Calculate Compensation.</w:t>
      </w:r>
    </w:p>
    <w:p w:rsidR="000F61AD" w:rsidRDefault="000F61AD" w:rsidP="000F61AD"/>
    <w:p w:rsidR="007B7140" w:rsidRDefault="007B7140" w:rsidP="007B7140">
      <w:r>
        <w:rPr>
          <w:b/>
        </w:rPr>
        <w:t>If less than full year</w:t>
      </w:r>
      <w:r>
        <w:t>, salary must be calculated by daily rate. Calculate salary for the days worked until the change in salary, then check salary already paid. If there is a difference, it must be added or subtracted as a PSHUP file. In this example, the rate already paid was $126.434 short of what was owed so that amount is paid through PSHUP file. Calculate the salary for the rest of the appointment period, enter prorated salary and change the Frequency from “S” to the number of payments left in the appointment period.</w:t>
      </w:r>
    </w:p>
    <w:p w:rsidR="00F17C1B" w:rsidRDefault="00F17C1B" w:rsidP="007B7140">
      <w:pPr>
        <w:rPr>
          <w:b/>
        </w:rPr>
      </w:pPr>
    </w:p>
    <w:p w:rsidR="007B7140" w:rsidRDefault="007B7140" w:rsidP="007B7140">
      <w:r>
        <w:rPr>
          <w:b/>
        </w:rPr>
        <w:t>Example in this case:</w:t>
      </w:r>
      <w:r>
        <w:t xml:space="preserve"> $60,009/261= $254.908045 x 44 days = $11,127.95376 (amount earned) minus $11,001.52 (amount paid) = $126.434 difference to be paid through PSHUP file. New rate: $72,000/261x 217 days left in appointment period = $59,862.069 with the number of pay periods left = 20 (C20).</w:t>
      </w:r>
    </w:p>
    <w:p w:rsidR="007B7140" w:rsidRDefault="007B7140" w:rsidP="007B7140"/>
    <w:p w:rsidR="007B7140" w:rsidRDefault="00645F57" w:rsidP="007B7140">
      <w:r>
        <w:rPr>
          <w:noProof/>
        </w:rPr>
        <w:lastRenderedPageBreak/>
        <w:drawing>
          <wp:inline distT="0" distB="0" distL="0" distR="0" wp14:anchorId="59B38B45" wp14:editId="1A182C31">
            <wp:extent cx="6797040" cy="436361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10693" cy="4372378"/>
                    </a:xfrm>
                    <a:prstGeom prst="rect">
                      <a:avLst/>
                    </a:prstGeom>
                  </pic:spPr>
                </pic:pic>
              </a:graphicData>
            </a:graphic>
          </wp:inline>
        </w:drawing>
      </w:r>
    </w:p>
    <w:p w:rsidR="0027793D" w:rsidRDefault="0027793D" w:rsidP="000F61AD"/>
    <w:p w:rsidR="00927E35" w:rsidRDefault="00927E35" w:rsidP="000F61AD">
      <w:r w:rsidRPr="00662C35">
        <w:rPr>
          <w:b/>
        </w:rPr>
        <w:t>CTC Job Data tab:</w:t>
      </w:r>
      <w:r>
        <w:t xml:space="preserve"> The QRG doesn’t say anything about changing </w:t>
      </w:r>
      <w:r w:rsidR="00662C35">
        <w:t>this page so either leave it or change the Contract Units and Contract Dates (I left this one alone).</w:t>
      </w:r>
    </w:p>
    <w:p w:rsidR="00662C35" w:rsidRDefault="00662C35" w:rsidP="000F61AD"/>
    <w:p w:rsidR="0027793D" w:rsidRDefault="0027793D" w:rsidP="000F61AD">
      <w:r w:rsidRPr="003E0E4E">
        <w:rPr>
          <w:b/>
        </w:rPr>
        <w:t>CTC Earning tab:</w:t>
      </w:r>
      <w:r>
        <w:t xml:space="preserve"> change Com</w:t>
      </w:r>
      <w:r w:rsidR="003E0E4E">
        <w:t>b</w:t>
      </w:r>
      <w:r>
        <w:t>o Code and Percent of Distribution, if needed. Save.</w:t>
      </w:r>
    </w:p>
    <w:p w:rsidR="0027793D" w:rsidRDefault="0031274B" w:rsidP="000F61AD">
      <w:r>
        <w:t xml:space="preserve"> </w:t>
      </w:r>
      <w:bookmarkStart w:id="0" w:name="_GoBack"/>
      <w:bookmarkEnd w:id="0"/>
    </w:p>
    <w:p w:rsidR="0027793D" w:rsidRDefault="0027793D" w:rsidP="000F61AD">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27793D" w:rsidSect="008F17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638" w:rsidRDefault="003A6638" w:rsidP="00F35036">
      <w:r>
        <w:separator/>
      </w:r>
    </w:p>
  </w:endnote>
  <w:endnote w:type="continuationSeparator" w:id="0">
    <w:p w:rsidR="003A6638" w:rsidRDefault="003A6638" w:rsidP="00F3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638" w:rsidRDefault="003A6638" w:rsidP="00F35036">
      <w:r>
        <w:separator/>
      </w:r>
    </w:p>
  </w:footnote>
  <w:footnote w:type="continuationSeparator" w:id="0">
    <w:p w:rsidR="003A6638" w:rsidRDefault="003A6638" w:rsidP="00F35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C52008"/>
    <w:multiLevelType w:val="multilevel"/>
    <w:tmpl w:val="06CE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480760"/>
    <w:multiLevelType w:val="multilevel"/>
    <w:tmpl w:val="47364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F406648"/>
    <w:multiLevelType w:val="multilevel"/>
    <w:tmpl w:val="6036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D0D3286"/>
    <w:multiLevelType w:val="multilevel"/>
    <w:tmpl w:val="1A6A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2"/>
  </w:num>
  <w:num w:numId="4">
    <w:abstractNumId w:val="6"/>
  </w:num>
  <w:num w:numId="5">
    <w:abstractNumId w:val="4"/>
  </w:num>
  <w:num w:numId="6">
    <w:abstractNumId w:val="7"/>
  </w:num>
  <w:num w:numId="7">
    <w:abstractNumId w:val="5"/>
  </w:num>
  <w:num w:numId="8">
    <w:abstractNumId w:val="1"/>
  </w:num>
  <w:num w:numId="9">
    <w:abstractNumId w:val="10"/>
  </w:num>
  <w:num w:numId="10">
    <w:abstractNumId w:val="10"/>
  </w:num>
  <w:num w:numId="11">
    <w:abstractNumId w:val="10"/>
  </w:num>
  <w:num w:numId="12">
    <w:abstractNumId w:val="5"/>
  </w:num>
  <w:num w:numId="13">
    <w:abstractNumId w:val="1"/>
  </w:num>
  <w:num w:numId="14">
    <w:abstractNumId w:val="10"/>
  </w:num>
  <w:num w:numId="15">
    <w:abstractNumId w:val="10"/>
  </w:num>
  <w:num w:numId="16">
    <w:abstractNumId w:val="10"/>
  </w:num>
  <w:num w:numId="17">
    <w:abstractNumId w:val="12"/>
  </w:num>
  <w:num w:numId="18">
    <w:abstractNumId w:val="5"/>
  </w:num>
  <w:num w:numId="19">
    <w:abstractNumId w:val="1"/>
  </w:num>
  <w:num w:numId="20">
    <w:abstractNumId w:val="12"/>
  </w:num>
  <w:num w:numId="21">
    <w:abstractNumId w:val="5"/>
  </w:num>
  <w:num w:numId="22">
    <w:abstractNumId w:val="5"/>
  </w:num>
  <w:num w:numId="23">
    <w:abstractNumId w:val="1"/>
  </w:num>
  <w:num w:numId="24">
    <w:abstractNumId w:val="9"/>
  </w:num>
  <w:num w:numId="25">
    <w:abstractNumId w:val="11"/>
    <w:lvlOverride w:ilvl="0">
      <w:startOverride w:val="5"/>
    </w:lvlOverride>
  </w:num>
  <w:num w:numId="26">
    <w:abstractNumId w:val="13"/>
    <w:lvlOverride w:ilvl="0">
      <w:startOverride w:val="11"/>
    </w:lvlOverride>
  </w:num>
  <w:num w:numId="27">
    <w:abstractNumId w:val="3"/>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36"/>
    <w:rsid w:val="00026CF1"/>
    <w:rsid w:val="00093DDE"/>
    <w:rsid w:val="000F61AD"/>
    <w:rsid w:val="00100E47"/>
    <w:rsid w:val="00142AC8"/>
    <w:rsid w:val="001754BA"/>
    <w:rsid w:val="001E4FFA"/>
    <w:rsid w:val="001F0D74"/>
    <w:rsid w:val="002435A1"/>
    <w:rsid w:val="002478CC"/>
    <w:rsid w:val="00252ACF"/>
    <w:rsid w:val="002662A9"/>
    <w:rsid w:val="0027793D"/>
    <w:rsid w:val="00305450"/>
    <w:rsid w:val="0031274B"/>
    <w:rsid w:val="00324DB0"/>
    <w:rsid w:val="0035054D"/>
    <w:rsid w:val="0039046B"/>
    <w:rsid w:val="003A6638"/>
    <w:rsid w:val="003B4FCD"/>
    <w:rsid w:val="003D684B"/>
    <w:rsid w:val="003E0E4E"/>
    <w:rsid w:val="00464BBC"/>
    <w:rsid w:val="0048673B"/>
    <w:rsid w:val="0049722B"/>
    <w:rsid w:val="004B160C"/>
    <w:rsid w:val="004C672E"/>
    <w:rsid w:val="004E1E55"/>
    <w:rsid w:val="004E4D9D"/>
    <w:rsid w:val="00503135"/>
    <w:rsid w:val="0050578E"/>
    <w:rsid w:val="00513779"/>
    <w:rsid w:val="00557E37"/>
    <w:rsid w:val="00563F36"/>
    <w:rsid w:val="005C1212"/>
    <w:rsid w:val="006314AC"/>
    <w:rsid w:val="00645F57"/>
    <w:rsid w:val="00662C35"/>
    <w:rsid w:val="006652B1"/>
    <w:rsid w:val="006A09D5"/>
    <w:rsid w:val="006F7BE4"/>
    <w:rsid w:val="007B7140"/>
    <w:rsid w:val="00862A9A"/>
    <w:rsid w:val="008F1722"/>
    <w:rsid w:val="00916A0F"/>
    <w:rsid w:val="00927E35"/>
    <w:rsid w:val="009305F3"/>
    <w:rsid w:val="009421CA"/>
    <w:rsid w:val="009F3F8B"/>
    <w:rsid w:val="00A3337D"/>
    <w:rsid w:val="00A63F14"/>
    <w:rsid w:val="00AD1273"/>
    <w:rsid w:val="00AF42BA"/>
    <w:rsid w:val="00B5033D"/>
    <w:rsid w:val="00BC3AEC"/>
    <w:rsid w:val="00BD1EDE"/>
    <w:rsid w:val="00C02DC0"/>
    <w:rsid w:val="00C24FAF"/>
    <w:rsid w:val="00CC5283"/>
    <w:rsid w:val="00CF427A"/>
    <w:rsid w:val="00D720EE"/>
    <w:rsid w:val="00DF4E65"/>
    <w:rsid w:val="00E02497"/>
    <w:rsid w:val="00E14050"/>
    <w:rsid w:val="00E51584"/>
    <w:rsid w:val="00E5489B"/>
    <w:rsid w:val="00E85B67"/>
    <w:rsid w:val="00E91BD4"/>
    <w:rsid w:val="00ED3FAD"/>
    <w:rsid w:val="00F12FB1"/>
    <w:rsid w:val="00F17C1B"/>
    <w:rsid w:val="00F2233E"/>
    <w:rsid w:val="00F33F01"/>
    <w:rsid w:val="00F35036"/>
    <w:rsid w:val="00F4669E"/>
    <w:rsid w:val="00F533C4"/>
    <w:rsid w:val="00F53BB7"/>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AD8E6"/>
  <w15:chartTrackingRefBased/>
  <w15:docId w15:val="{92249262-CEC3-4A36-BECB-3407031E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F35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8112">
      <w:bodyDiv w:val="1"/>
      <w:marLeft w:val="0"/>
      <w:marRight w:val="0"/>
      <w:marTop w:val="0"/>
      <w:marBottom w:val="0"/>
      <w:divBdr>
        <w:top w:val="none" w:sz="0" w:space="0" w:color="auto"/>
        <w:left w:val="none" w:sz="0" w:space="0" w:color="auto"/>
        <w:bottom w:val="none" w:sz="0" w:space="0" w:color="auto"/>
        <w:right w:val="none" w:sz="0" w:space="0" w:color="auto"/>
      </w:divBdr>
      <w:divsChild>
        <w:div w:id="1836069647">
          <w:marLeft w:val="0"/>
          <w:marRight w:val="0"/>
          <w:marTop w:val="0"/>
          <w:marBottom w:val="0"/>
          <w:divBdr>
            <w:top w:val="none" w:sz="0" w:space="0" w:color="auto"/>
            <w:left w:val="none" w:sz="0" w:space="0" w:color="auto"/>
            <w:bottom w:val="none" w:sz="0" w:space="0" w:color="auto"/>
            <w:right w:val="none" w:sz="0" w:space="0" w:color="auto"/>
          </w:divBdr>
        </w:div>
        <w:div w:id="1712068031">
          <w:marLeft w:val="0"/>
          <w:marRight w:val="0"/>
          <w:marTop w:val="360"/>
          <w:marBottom w:val="360"/>
          <w:divBdr>
            <w:top w:val="single" w:sz="6" w:space="9" w:color="EBEBEB"/>
            <w:left w:val="single" w:sz="6" w:space="9" w:color="EBEBEB"/>
            <w:bottom w:val="single" w:sz="6" w:space="9" w:color="EBEBEB"/>
            <w:right w:val="single" w:sz="6" w:space="9" w:color="EBEBEB"/>
          </w:divBdr>
        </w:div>
        <w:div w:id="1666399231">
          <w:marLeft w:val="0"/>
          <w:marRight w:val="0"/>
          <w:marTop w:val="0"/>
          <w:marBottom w:val="0"/>
          <w:divBdr>
            <w:top w:val="none" w:sz="0" w:space="0" w:color="auto"/>
            <w:left w:val="none" w:sz="0" w:space="0" w:color="auto"/>
            <w:bottom w:val="none" w:sz="0" w:space="0" w:color="auto"/>
            <w:right w:val="none" w:sz="0" w:space="0" w:color="auto"/>
          </w:divBdr>
        </w:div>
        <w:div w:id="1096024748">
          <w:marLeft w:val="0"/>
          <w:marRight w:val="0"/>
          <w:marTop w:val="360"/>
          <w:marBottom w:val="360"/>
          <w:divBdr>
            <w:top w:val="single" w:sz="6" w:space="9" w:color="EBEBEB"/>
            <w:left w:val="single" w:sz="6" w:space="9" w:color="EBEBEB"/>
            <w:bottom w:val="single" w:sz="6" w:space="9" w:color="EBEBEB"/>
            <w:right w:val="single" w:sz="6" w:space="9" w:color="EBEBEB"/>
          </w:divBdr>
        </w:div>
        <w:div w:id="920985621">
          <w:marLeft w:val="0"/>
          <w:marRight w:val="0"/>
          <w:marTop w:val="0"/>
          <w:marBottom w:val="0"/>
          <w:divBdr>
            <w:top w:val="none" w:sz="0" w:space="0" w:color="auto"/>
            <w:left w:val="none" w:sz="0" w:space="0" w:color="auto"/>
            <w:bottom w:val="none" w:sz="0" w:space="0" w:color="auto"/>
            <w:right w:val="none" w:sz="0" w:space="0" w:color="auto"/>
          </w:divBdr>
        </w:div>
        <w:div w:id="1241254086">
          <w:marLeft w:val="0"/>
          <w:marRight w:val="0"/>
          <w:marTop w:val="360"/>
          <w:marBottom w:val="360"/>
          <w:divBdr>
            <w:top w:val="single" w:sz="6" w:space="9" w:color="EBEBEB"/>
            <w:left w:val="single" w:sz="6" w:space="9" w:color="EBEBEB"/>
            <w:bottom w:val="single" w:sz="6" w:space="9" w:color="EBEBEB"/>
            <w:right w:val="single" w:sz="6" w:space="9" w:color="EBEBEB"/>
          </w:divBdr>
        </w:div>
        <w:div w:id="1299998031">
          <w:marLeft w:val="0"/>
          <w:marRight w:val="0"/>
          <w:marTop w:val="0"/>
          <w:marBottom w:val="0"/>
          <w:divBdr>
            <w:top w:val="none" w:sz="0" w:space="0" w:color="auto"/>
            <w:left w:val="none" w:sz="0" w:space="0" w:color="auto"/>
            <w:bottom w:val="none" w:sz="0" w:space="0" w:color="auto"/>
            <w:right w:val="none" w:sz="0" w:space="0" w:color="auto"/>
          </w:divBdr>
        </w:div>
      </w:divsChild>
    </w:div>
    <w:div w:id="470709635">
      <w:bodyDiv w:val="1"/>
      <w:marLeft w:val="0"/>
      <w:marRight w:val="0"/>
      <w:marTop w:val="0"/>
      <w:marBottom w:val="0"/>
      <w:divBdr>
        <w:top w:val="none" w:sz="0" w:space="0" w:color="auto"/>
        <w:left w:val="none" w:sz="0" w:space="0" w:color="auto"/>
        <w:bottom w:val="none" w:sz="0" w:space="0" w:color="auto"/>
        <w:right w:val="none" w:sz="0" w:space="0" w:color="auto"/>
      </w:divBdr>
    </w:div>
    <w:div w:id="782722885">
      <w:bodyDiv w:val="1"/>
      <w:marLeft w:val="0"/>
      <w:marRight w:val="0"/>
      <w:marTop w:val="0"/>
      <w:marBottom w:val="0"/>
      <w:divBdr>
        <w:top w:val="none" w:sz="0" w:space="0" w:color="auto"/>
        <w:left w:val="none" w:sz="0" w:space="0" w:color="auto"/>
        <w:bottom w:val="none" w:sz="0" w:space="0" w:color="auto"/>
        <w:right w:val="none" w:sz="0" w:space="0" w:color="auto"/>
      </w:divBdr>
      <w:divsChild>
        <w:div w:id="1765882302">
          <w:marLeft w:val="0"/>
          <w:marRight w:val="0"/>
          <w:marTop w:val="0"/>
          <w:marBottom w:val="0"/>
          <w:divBdr>
            <w:top w:val="none" w:sz="0" w:space="0" w:color="auto"/>
            <w:left w:val="none" w:sz="0" w:space="0" w:color="auto"/>
            <w:bottom w:val="none" w:sz="0" w:space="0" w:color="auto"/>
            <w:right w:val="none" w:sz="0" w:space="0" w:color="auto"/>
          </w:divBdr>
        </w:div>
        <w:div w:id="1146124287">
          <w:marLeft w:val="0"/>
          <w:marRight w:val="0"/>
          <w:marTop w:val="360"/>
          <w:marBottom w:val="360"/>
          <w:divBdr>
            <w:top w:val="single" w:sz="6" w:space="9" w:color="EBEBEB"/>
            <w:left w:val="single" w:sz="6" w:space="9" w:color="EBEBEB"/>
            <w:bottom w:val="single" w:sz="6" w:space="9" w:color="EBEBEB"/>
            <w:right w:val="single" w:sz="6" w:space="9" w:color="EBEBEB"/>
          </w:divBdr>
        </w:div>
        <w:div w:id="2121757869">
          <w:marLeft w:val="0"/>
          <w:marRight w:val="0"/>
          <w:marTop w:val="0"/>
          <w:marBottom w:val="0"/>
          <w:divBdr>
            <w:top w:val="none" w:sz="0" w:space="0" w:color="auto"/>
            <w:left w:val="none" w:sz="0" w:space="0" w:color="auto"/>
            <w:bottom w:val="none" w:sz="0" w:space="0" w:color="auto"/>
            <w:right w:val="none" w:sz="0" w:space="0" w:color="auto"/>
          </w:divBdr>
        </w:div>
        <w:div w:id="1029834486">
          <w:marLeft w:val="0"/>
          <w:marRight w:val="0"/>
          <w:marTop w:val="360"/>
          <w:marBottom w:val="360"/>
          <w:divBdr>
            <w:top w:val="single" w:sz="6" w:space="9" w:color="EBEBEB"/>
            <w:left w:val="single" w:sz="6" w:space="9" w:color="EBEBEB"/>
            <w:bottom w:val="single" w:sz="6" w:space="9" w:color="EBEBEB"/>
            <w:right w:val="single" w:sz="6" w:space="9" w:color="EBEBEB"/>
          </w:divBdr>
        </w:div>
        <w:div w:id="760755247">
          <w:marLeft w:val="0"/>
          <w:marRight w:val="0"/>
          <w:marTop w:val="0"/>
          <w:marBottom w:val="0"/>
          <w:divBdr>
            <w:top w:val="none" w:sz="0" w:space="0" w:color="auto"/>
            <w:left w:val="none" w:sz="0" w:space="0" w:color="auto"/>
            <w:bottom w:val="none" w:sz="0" w:space="0" w:color="auto"/>
            <w:right w:val="none" w:sz="0" w:space="0" w:color="auto"/>
          </w:divBdr>
        </w:div>
        <w:div w:id="270164176">
          <w:marLeft w:val="0"/>
          <w:marRight w:val="0"/>
          <w:marTop w:val="360"/>
          <w:marBottom w:val="360"/>
          <w:divBdr>
            <w:top w:val="single" w:sz="6" w:space="9" w:color="EBEBEB"/>
            <w:left w:val="single" w:sz="6" w:space="9" w:color="EBEBEB"/>
            <w:bottom w:val="single" w:sz="6" w:space="9" w:color="EBEBEB"/>
            <w:right w:val="single" w:sz="6" w:space="9" w:color="EBEBEB"/>
          </w:divBdr>
        </w:div>
        <w:div w:id="151283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tclinkreferencecenter.ctclink.us/m/79718/l/928127-9-2-entering-pay-increases-using-comp-rate-co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16</cp:revision>
  <dcterms:created xsi:type="dcterms:W3CDTF">2021-06-29T16:26:00Z</dcterms:created>
  <dcterms:modified xsi:type="dcterms:W3CDTF">2022-03-28T20:04:00Z</dcterms:modified>
</cp:coreProperties>
</file>