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61B" w:rsidRDefault="000E4EC4" w:rsidP="0080361B">
      <w:pPr>
        <w:rPr>
          <w:b/>
        </w:rPr>
      </w:pPr>
      <w:r w:rsidRPr="00114A5A">
        <w:rPr>
          <w:b/>
        </w:rPr>
        <w:t>Adding Benefits</w:t>
      </w:r>
    </w:p>
    <w:p w:rsidR="0080361B" w:rsidRDefault="0080361B" w:rsidP="0080361B">
      <w:pPr>
        <w:rPr>
          <w:b/>
        </w:rPr>
      </w:pPr>
    </w:p>
    <w:p w:rsidR="0080361B" w:rsidRPr="0080361B" w:rsidRDefault="0080361B" w:rsidP="0080361B">
      <w:pPr>
        <w:rPr>
          <w:b/>
        </w:rPr>
      </w:pPr>
      <w:r w:rsidRPr="0080361B">
        <w:rPr>
          <w:b/>
        </w:rPr>
        <w:t>BE SURE to let payroll know about benefits so they can make sure the deductions are taken out correctly.</w:t>
      </w:r>
      <w:r w:rsidR="004664C2">
        <w:rPr>
          <w:b/>
        </w:rPr>
        <w:t xml:space="preserve"> Also, be sure to tell payroll about those going on TIAA so they can take out the proper fees.</w:t>
      </w:r>
    </w:p>
    <w:p w:rsidR="003D684B" w:rsidRPr="00114A5A" w:rsidRDefault="003D684B">
      <w:pPr>
        <w:rPr>
          <w:b/>
        </w:rPr>
      </w:pPr>
    </w:p>
    <w:p w:rsidR="00114A5A" w:rsidRDefault="000E4EC4">
      <w:r w:rsidRPr="00114A5A">
        <w:rPr>
          <w:b/>
        </w:rPr>
        <w:t xml:space="preserve">Medical and </w:t>
      </w:r>
      <w:r w:rsidR="0059445D" w:rsidRPr="00114A5A">
        <w:rPr>
          <w:b/>
        </w:rPr>
        <w:t>Dental</w:t>
      </w:r>
      <w:r w:rsidR="0059445D">
        <w:t xml:space="preserve"> are put in </w:t>
      </w:r>
      <w:r w:rsidR="00114A5A">
        <w:t>PAY1 and the information is automatically entered into ctcLink overnight. The information CAN be put in manually but anything different than what is in PAY1 will be overwritten in ctcLink</w:t>
      </w:r>
      <w:r w:rsidR="00863F0F">
        <w:t xml:space="preserve"> (BE SURE TO DBL CHECK IF THE I</w:t>
      </w:r>
      <w:r w:rsidR="004D03EC">
        <w:t>N</w:t>
      </w:r>
      <w:r w:rsidR="00863F0F">
        <w:t>FO CAME OVER FROM PAY1 – sometimes it doesn’t and you need to go back into PAY1, make a change, save, then change it back, save, and check ctcLink the next day to see if it came over</w:t>
      </w:r>
      <w:r w:rsidR="00114A5A">
        <w:t xml:space="preserve">. The example below shows what it looks like for a coverage begin date of </w:t>
      </w:r>
      <w:r w:rsidR="00F12248">
        <w:t>3</w:t>
      </w:r>
      <w:r w:rsidR="00114A5A">
        <w:t>/1/2</w:t>
      </w:r>
      <w:r w:rsidR="00F12248">
        <w:t>1</w:t>
      </w:r>
      <w:r w:rsidR="00114A5A">
        <w:t xml:space="preserve"> (wasn’t entered into PAY1 until </w:t>
      </w:r>
      <w:r w:rsidR="00F12248">
        <w:t>3/10/22</w:t>
      </w:r>
      <w:r w:rsidR="00114A5A">
        <w:t>). Choose View All to see both medical and dental on one page.</w:t>
      </w:r>
    </w:p>
    <w:p w:rsidR="00114A5A" w:rsidRDefault="00114A5A"/>
    <w:p w:rsidR="00114A5A" w:rsidRDefault="00F12248">
      <w:r>
        <w:rPr>
          <w:noProof/>
        </w:rPr>
        <w:drawing>
          <wp:inline distT="0" distB="0" distL="0" distR="0" wp14:anchorId="27973CDD" wp14:editId="3287099F">
            <wp:extent cx="6086030" cy="7063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893" cy="707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5A" w:rsidRDefault="00114A5A"/>
    <w:p w:rsidR="00114A5A" w:rsidRPr="0018346B" w:rsidRDefault="0018346B">
      <w:pPr>
        <w:rPr>
          <w:b/>
        </w:rPr>
      </w:pPr>
      <w:r w:rsidRPr="0018346B">
        <w:rPr>
          <w:b/>
        </w:rPr>
        <w:t>Simple Benefits such as Spousal Medical Surcharge and Tobacco User Surcharge, if any are also populated through PAY1.</w:t>
      </w:r>
    </w:p>
    <w:p w:rsidR="0018346B" w:rsidRDefault="0018346B"/>
    <w:p w:rsidR="0018346B" w:rsidRDefault="00E27AFE">
      <w:r>
        <w:rPr>
          <w:noProof/>
        </w:rPr>
        <w:drawing>
          <wp:inline distT="0" distB="0" distL="0" distR="0" wp14:anchorId="1B20C070" wp14:editId="11CA105C">
            <wp:extent cx="6210838" cy="3284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838" cy="32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46B" w:rsidRDefault="0018346B"/>
    <w:p w:rsidR="0018346B" w:rsidRPr="0018346B" w:rsidRDefault="0018346B">
      <w:pPr>
        <w:rPr>
          <w:b/>
        </w:rPr>
      </w:pPr>
      <w:r w:rsidRPr="0018346B">
        <w:rPr>
          <w:b/>
        </w:rPr>
        <w:t>Life Insurance is through MetLife and therefore we do not need to do anything in ctcLink</w:t>
      </w:r>
    </w:p>
    <w:p w:rsidR="0018346B" w:rsidRDefault="0018346B"/>
    <w:p w:rsidR="0018346B" w:rsidRPr="0075399B" w:rsidRDefault="00830BBB">
      <w:pPr>
        <w:rPr>
          <w:b/>
        </w:rPr>
      </w:pPr>
      <w:hyperlink r:id="rId9" w:history="1">
        <w:r w:rsidR="0018346B" w:rsidRPr="007B5A8B">
          <w:rPr>
            <w:rStyle w:val="Hyperlink"/>
            <w:b/>
          </w:rPr>
          <w:t>Disability Benefits</w:t>
        </w:r>
      </w:hyperlink>
      <w:r w:rsidR="0075399B" w:rsidRPr="007B5A8B">
        <w:rPr>
          <w:b/>
        </w:rPr>
        <w:t xml:space="preserve"> must be entered in ctcLink</w:t>
      </w:r>
    </w:p>
    <w:p w:rsidR="00AD606E" w:rsidRDefault="00AD606E" w:rsidP="00AD606E"/>
    <w:p w:rsidR="00AD606E" w:rsidRPr="00D80326" w:rsidRDefault="00AD606E" w:rsidP="00AD606E">
      <w:pPr>
        <w:rPr>
          <w:color w:val="4472C4" w:themeColor="accent1"/>
        </w:rPr>
      </w:pPr>
      <w:r w:rsidRPr="00D80326">
        <w:rPr>
          <w:color w:val="4472C4" w:themeColor="accent1"/>
        </w:rPr>
        <w:t>Nav&gt;Benefits&gt;Enroll in Benefits&gt;Disability Benefits</w:t>
      </w:r>
    </w:p>
    <w:p w:rsidR="00AD606E" w:rsidRDefault="00AD606E" w:rsidP="00AD606E"/>
    <w:p w:rsidR="00AD606E" w:rsidRDefault="00AD606E" w:rsidP="00AD606E">
      <w:pPr>
        <w:rPr>
          <w:rFonts w:ascii="Calibri" w:hAnsi="Calibri" w:cs="Calibri"/>
        </w:rPr>
      </w:pPr>
      <w:r>
        <w:t>E-188 (SBCTC auto process) will continue to default employees who are without any OLTD plan selected into the 60% plans provided there is a retirement plan available for the process to logically select the correct OLTD Plan. College Admins must continue to manually key in:</w:t>
      </w:r>
    </w:p>
    <w:p w:rsidR="00AD606E" w:rsidRDefault="00AD606E" w:rsidP="00AD606E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Employees who opt out of OLTD</w:t>
      </w:r>
    </w:p>
    <w:p w:rsidR="00AD606E" w:rsidRDefault="00AD606E" w:rsidP="00AD606E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Employees who opt for 50% plan</w:t>
      </w:r>
    </w:p>
    <w:p w:rsidR="00AD606E" w:rsidRDefault="00AD606E" w:rsidP="00AD606E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Any retirees who are not eligible for retirement plan and anyone else who has benefits and not retirement</w:t>
      </w:r>
    </w:p>
    <w:p w:rsidR="00AD606E" w:rsidRPr="00150A8D" w:rsidRDefault="00AD606E" w:rsidP="00AD606E">
      <w:pPr>
        <w:pStyle w:val="ListParagraph"/>
        <w:rPr>
          <w:rFonts w:eastAsia="Times New Roman"/>
        </w:rPr>
      </w:pPr>
    </w:p>
    <w:p w:rsidR="00AD606E" w:rsidRDefault="00AD606E" w:rsidP="00AD606E">
      <w:r>
        <w:t>There is NO AUTO-UPDATE from PEBB/PAY1 into ctcLink for LTD (as of 2/22).</w:t>
      </w:r>
    </w:p>
    <w:p w:rsidR="00AD606E" w:rsidRDefault="00AD606E" w:rsidP="00AD606E"/>
    <w:p w:rsidR="00AD606E" w:rsidRPr="000A19C1" w:rsidRDefault="00AD606E" w:rsidP="00AD606E">
      <w:pPr>
        <w:rPr>
          <w:i/>
        </w:rPr>
      </w:pPr>
      <w:r w:rsidRPr="000A19C1">
        <w:rPr>
          <w:i/>
        </w:rPr>
        <w:t>If the employee-paid enrollment was automatically added and the effective dates are the same, you can use Correct History to decline or change to 50%.</w:t>
      </w:r>
    </w:p>
    <w:p w:rsidR="00AD606E" w:rsidRPr="00830E7C" w:rsidRDefault="00AD606E" w:rsidP="00AD606E">
      <w:bookmarkStart w:id="0" w:name="_Hlk97280536"/>
    </w:p>
    <w:p w:rsidR="00AD606E" w:rsidRPr="00830E7C" w:rsidRDefault="00AD606E" w:rsidP="00AD606E">
      <w:r w:rsidRPr="00830E7C">
        <w:rPr>
          <w:noProof/>
        </w:rPr>
        <w:drawing>
          <wp:anchor distT="0" distB="0" distL="114300" distR="114300" simplePos="0" relativeHeight="251659264" behindDoc="0" locked="0" layoutInCell="1" allowOverlap="1" wp14:anchorId="7DE1E7DB" wp14:editId="5E88AE3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813560" cy="19640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54" cy="1971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606E" w:rsidRPr="00830E7C" w:rsidRDefault="00AD606E" w:rsidP="00AD606E">
      <w:r w:rsidRPr="00830E7C">
        <w:t>If you are enrolling or changing employee-paid LTD, you need to know what type of retirement they have (TIAA or Other), then click on the Benefit Plan Search Tool to find the coverage needed.</w:t>
      </w:r>
    </w:p>
    <w:p w:rsidR="00AD606E" w:rsidRPr="00830E7C" w:rsidRDefault="00AD606E" w:rsidP="00AD606E"/>
    <w:p w:rsidR="00AD606E" w:rsidRPr="00830E7C" w:rsidRDefault="00AD606E" w:rsidP="00AD606E">
      <w:r w:rsidRPr="00830E7C">
        <w:t>If you are changing coverage, the Benefit Plan will already tell you if the retirement plan is TIAA or Other.</w:t>
      </w:r>
    </w:p>
    <w:p w:rsidR="00AD606E" w:rsidRPr="00830E7C" w:rsidRDefault="00AD606E" w:rsidP="00AD606E"/>
    <w:p w:rsidR="00AD606E" w:rsidRPr="00830E7C" w:rsidRDefault="00AD606E" w:rsidP="00AD606E">
      <w:r w:rsidRPr="00830E7C">
        <w:t>Non-retirement-eligible employees will be “Other.”</w:t>
      </w:r>
    </w:p>
    <w:p w:rsidR="00AD606E" w:rsidRPr="00830E7C" w:rsidRDefault="00AD606E" w:rsidP="00AD606E"/>
    <w:p w:rsidR="00AD606E" w:rsidRPr="00830E7C" w:rsidRDefault="00AD606E" w:rsidP="00AD606E">
      <w:r w:rsidRPr="00830E7C">
        <w:t>SEE documentation: Benefits-LTD-Adding ABBRs for PT Faculty</w:t>
      </w:r>
    </w:p>
    <w:p w:rsidR="006643E6" w:rsidRDefault="006643E6">
      <w:pPr>
        <w:spacing w:after="160" w:line="259" w:lineRule="auto"/>
      </w:pPr>
      <w:r>
        <w:br w:type="page"/>
      </w:r>
    </w:p>
    <w:p w:rsidR="00AD606E" w:rsidRPr="00830E7C" w:rsidRDefault="00AD606E" w:rsidP="00AD606E"/>
    <w:bookmarkEnd w:id="0"/>
    <w:p w:rsidR="00AD606E" w:rsidRDefault="00AD606E" w:rsidP="00AD606E">
      <w:r>
        <w:t>If enrolling for the first time, add + a row in Plan Type, choose plan, add + a row in Coverage, enter Coverage, Deduction and Effective dates (use the same date for all), choose Benefit Plan and Save.</w:t>
      </w:r>
    </w:p>
    <w:p w:rsidR="00AD606E" w:rsidRDefault="00AD606E" w:rsidP="00AD606E"/>
    <w:p w:rsidR="00AD606E" w:rsidRDefault="00AD606E" w:rsidP="00AD606E">
      <w:r w:rsidRPr="002345D2">
        <w:rPr>
          <w:b/>
        </w:rPr>
        <w:t>Note</w:t>
      </w:r>
      <w:r>
        <w:t xml:space="preserve">: you can effective date in the future, i.e., put in 3/1 even if it is currently 2/9 (according to the experts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).</w:t>
      </w:r>
    </w:p>
    <w:p w:rsidR="00AD606E" w:rsidRDefault="00AD606E" w:rsidP="00AD606E">
      <w:pPr>
        <w:rPr>
          <w:b/>
          <w:highlight w:val="cyan"/>
        </w:rPr>
      </w:pPr>
    </w:p>
    <w:p w:rsidR="00AD606E" w:rsidRDefault="00AD606E" w:rsidP="00AD606E">
      <w:pPr>
        <w:rPr>
          <w:b/>
        </w:rPr>
      </w:pPr>
      <w:r w:rsidRPr="002854C3">
        <w:rPr>
          <w:b/>
          <w:highlight w:val="cyan"/>
        </w:rPr>
        <w:t>Basic</w:t>
      </w:r>
      <w:r w:rsidRPr="0075399B">
        <w:rPr>
          <w:b/>
        </w:rPr>
        <w:t xml:space="preserve"> </w:t>
      </w:r>
      <w:r>
        <w:rPr>
          <w:b/>
        </w:rPr>
        <w:t>–</w:t>
      </w:r>
      <w:r w:rsidRPr="002854C3">
        <w:t xml:space="preserve"> add </w:t>
      </w:r>
      <w:r>
        <w:t xml:space="preserve">Plan Type, </w:t>
      </w:r>
      <w:r w:rsidRPr="002854C3">
        <w:t>Coverage</w:t>
      </w:r>
      <w:r w:rsidR="00B87CA3">
        <w:t xml:space="preserve"> and</w:t>
      </w:r>
      <w:r w:rsidRPr="002854C3">
        <w:t xml:space="preserve"> Deduction Begin</w:t>
      </w:r>
      <w:r w:rsidR="00B87CA3">
        <w:t xml:space="preserve"> dates </w:t>
      </w:r>
      <w:r w:rsidR="00440864" w:rsidRPr="002854C3">
        <w:t>(</w:t>
      </w:r>
      <w:r w:rsidR="00B87CA3">
        <w:t>both</w:t>
      </w:r>
      <w:r w:rsidR="00440864" w:rsidRPr="002854C3">
        <w:t xml:space="preserve"> the same</w:t>
      </w:r>
      <w:r w:rsidR="00B87CA3">
        <w:t>)</w:t>
      </w:r>
      <w:r w:rsidRPr="002854C3">
        <w:t xml:space="preserve"> and Election Date</w:t>
      </w:r>
      <w:r w:rsidR="00B87CA3">
        <w:t xml:space="preserve"> (Election Date can be different)</w:t>
      </w:r>
      <w:r w:rsidRPr="002854C3">
        <w:t xml:space="preserve">, </w:t>
      </w:r>
      <w:r>
        <w:t xml:space="preserve">add Benefit Plan, </w:t>
      </w:r>
      <w:r w:rsidRPr="002854C3">
        <w:t>Save</w:t>
      </w:r>
      <w:r>
        <w:t>.</w:t>
      </w:r>
    </w:p>
    <w:p w:rsidR="00AD606E" w:rsidRDefault="00AD606E" w:rsidP="00AD606E">
      <w:pPr>
        <w:rPr>
          <w:b/>
        </w:rPr>
      </w:pPr>
    </w:p>
    <w:p w:rsidR="00AD606E" w:rsidRDefault="00AD606E" w:rsidP="00AD606E">
      <w:r>
        <w:rPr>
          <w:noProof/>
        </w:rPr>
        <w:drawing>
          <wp:inline distT="0" distB="0" distL="0" distR="0" wp14:anchorId="3C90AFAD" wp14:editId="15B05A10">
            <wp:extent cx="4930140" cy="2755402"/>
            <wp:effectExtent l="0" t="0" r="381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6607" cy="277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06E" w:rsidRDefault="00AD606E" w:rsidP="00AD606E"/>
    <w:p w:rsidR="00AD606E" w:rsidRDefault="00AD606E" w:rsidP="00AD606E">
      <w:r>
        <w:rPr>
          <w:b/>
          <w:highlight w:val="cyan"/>
        </w:rPr>
        <w:t>Employee Paid</w:t>
      </w:r>
      <w:r w:rsidRPr="0075399B">
        <w:rPr>
          <w:b/>
        </w:rPr>
        <w:t xml:space="preserve"> </w:t>
      </w:r>
      <w:r w:rsidRPr="002854C3">
        <w:t>- Add a row (+), choose Plan Type (Optional), add Coverage</w:t>
      </w:r>
      <w:r w:rsidR="00B87CA3">
        <w:t xml:space="preserve"> and </w:t>
      </w:r>
      <w:r w:rsidRPr="002854C3">
        <w:t xml:space="preserve">Deduction </w:t>
      </w:r>
      <w:r w:rsidR="00B87CA3">
        <w:t>Dates (both the same-1</w:t>
      </w:r>
      <w:r w:rsidR="00B87CA3" w:rsidRPr="00F06A84">
        <w:rPr>
          <w:vertAlign w:val="superscript"/>
        </w:rPr>
        <w:t>st</w:t>
      </w:r>
      <w:r w:rsidR="00B87CA3">
        <w:t xml:space="preserve"> of the month after signature) </w:t>
      </w:r>
      <w:r w:rsidRPr="002854C3">
        <w:t xml:space="preserve">and </w:t>
      </w:r>
      <w:r w:rsidR="00B87CA3">
        <w:t>E</w:t>
      </w:r>
      <w:r w:rsidRPr="002854C3">
        <w:t>lection Begin Date (</w:t>
      </w:r>
      <w:r w:rsidR="00B87CA3">
        <w:t>Election Date can be different</w:t>
      </w:r>
      <w:r w:rsidRPr="002854C3">
        <w:t xml:space="preserve">), </w:t>
      </w:r>
      <w:r>
        <w:t xml:space="preserve">add Benefit Plan, if applicable, </w:t>
      </w:r>
      <w:r w:rsidRPr="002854C3">
        <w:t>Save.</w:t>
      </w:r>
    </w:p>
    <w:p w:rsidR="00AD606E" w:rsidRDefault="00AD606E" w:rsidP="00AD606E"/>
    <w:p w:rsidR="00AD606E" w:rsidRDefault="00AD606E" w:rsidP="00AD606E">
      <w:r>
        <w:rPr>
          <w:noProof/>
        </w:rPr>
        <w:drawing>
          <wp:inline distT="0" distB="0" distL="0" distR="0" wp14:anchorId="297BE5F7" wp14:editId="1131F985">
            <wp:extent cx="6858000" cy="39027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3E6" w:rsidRDefault="006643E6">
      <w:pPr>
        <w:spacing w:after="160" w:line="259" w:lineRule="auto"/>
      </w:pPr>
      <w:r>
        <w:br w:type="page"/>
      </w:r>
    </w:p>
    <w:p w:rsidR="006643E6" w:rsidRDefault="006643E6" w:rsidP="00AD606E"/>
    <w:p w:rsidR="00A923DD" w:rsidRDefault="00830BBB" w:rsidP="00AD606E">
      <w:hyperlink r:id="rId13" w:history="1">
        <w:r w:rsidR="0075399B" w:rsidRPr="00394A8B">
          <w:rPr>
            <w:rStyle w:val="Hyperlink"/>
            <w:b/>
          </w:rPr>
          <w:t>Savings Plans</w:t>
        </w:r>
      </w:hyperlink>
      <w:r w:rsidR="0075399B" w:rsidRPr="00B46093">
        <w:rPr>
          <w:b/>
        </w:rPr>
        <w:t xml:space="preserve"> </w:t>
      </w:r>
      <w:r w:rsidR="00B46093" w:rsidRPr="00B46093">
        <w:rPr>
          <w:b/>
        </w:rPr>
        <w:t>SBVIP or DRS Deferred Comp – Can be done any time</w:t>
      </w:r>
      <w:r w:rsidR="006643E6">
        <w:rPr>
          <w:b/>
        </w:rPr>
        <w:t>.</w:t>
      </w:r>
      <w:r w:rsidR="00A923DD">
        <w:rPr>
          <w:b/>
        </w:rPr>
        <w:t xml:space="preserve"> D</w:t>
      </w:r>
      <w:r w:rsidR="006643E6">
        <w:rPr>
          <w:b/>
        </w:rPr>
        <w:t>eferred Comp</w:t>
      </w:r>
      <w:r w:rsidR="00A923DD">
        <w:rPr>
          <w:b/>
        </w:rPr>
        <w:t xml:space="preserve"> is done through DRS and they will send a form</w:t>
      </w:r>
      <w:r w:rsidR="00B46093" w:rsidRPr="00B46093">
        <w:rPr>
          <w:b/>
        </w:rPr>
        <w:t>.</w:t>
      </w:r>
      <w:r w:rsidR="00394A8B">
        <w:t xml:space="preserve"> Add Plan Type, Coverage Begin Date, Deduction Begin Date, Coverage Election, Election Date Benefit Plan, Investment amount or percentage in Before</w:t>
      </w:r>
      <w:r w:rsidR="00D6376D">
        <w:t xml:space="preserve"> and/or</w:t>
      </w:r>
      <w:r w:rsidR="00A923DD">
        <w:t xml:space="preserve"> After</w:t>
      </w:r>
      <w:r w:rsidR="006643E6">
        <w:t>-</w:t>
      </w:r>
      <w:r w:rsidR="00A923DD">
        <w:t>Tax Investment amount(s), Save.</w:t>
      </w:r>
      <w:r w:rsidR="00B87CA3">
        <w:t xml:space="preserve"> Election Date can be the actual date it was added.</w:t>
      </w:r>
    </w:p>
    <w:p w:rsidR="00A923DD" w:rsidRDefault="00A923DD"/>
    <w:p w:rsidR="00A923DD" w:rsidRPr="00394A8B" w:rsidRDefault="00A923DD">
      <w:r>
        <w:t>If Changing amount(s) or adding a Savings Plan, add + a row and follow the directions above.</w:t>
      </w:r>
    </w:p>
    <w:p w:rsidR="00B46093" w:rsidRDefault="00B46093"/>
    <w:p w:rsidR="00394A8B" w:rsidRDefault="006643E6">
      <w:r>
        <w:rPr>
          <w:noProof/>
        </w:rPr>
        <w:drawing>
          <wp:inline distT="0" distB="0" distL="0" distR="0" wp14:anchorId="115683CD" wp14:editId="0081A414">
            <wp:extent cx="6858000" cy="33762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A8B" w:rsidRDefault="00394A8B"/>
    <w:p w:rsidR="00675DC1" w:rsidRDefault="00675DC1">
      <w:pPr>
        <w:spacing w:after="160" w:line="259" w:lineRule="auto"/>
      </w:pPr>
      <w:r>
        <w:br w:type="page"/>
      </w:r>
    </w:p>
    <w:p w:rsidR="006643E6" w:rsidRDefault="00830BBB" w:rsidP="006643E6">
      <w:pPr>
        <w:rPr>
          <w:b/>
        </w:rPr>
      </w:pPr>
      <w:hyperlink r:id="rId15" w:history="1">
        <w:r w:rsidR="006643E6" w:rsidRPr="00EF1490">
          <w:rPr>
            <w:rStyle w:val="Hyperlink"/>
            <w:b/>
          </w:rPr>
          <w:t>9.2 Enrolling an Employee in Spending Accounts</w:t>
        </w:r>
      </w:hyperlink>
    </w:p>
    <w:p w:rsidR="006643E6" w:rsidRDefault="006643E6" w:rsidP="006643E6">
      <w:pPr>
        <w:rPr>
          <w:b/>
          <w:color w:val="0070C0"/>
        </w:rPr>
      </w:pPr>
    </w:p>
    <w:p w:rsidR="006643E6" w:rsidRPr="00935277" w:rsidRDefault="006643E6" w:rsidP="006643E6">
      <w:pPr>
        <w:rPr>
          <w:b/>
          <w:color w:val="0070C0"/>
        </w:rPr>
      </w:pPr>
      <w:r w:rsidRPr="00935277">
        <w:rPr>
          <w:b/>
          <w:color w:val="0070C0"/>
        </w:rPr>
        <w:t>Nav&gt;Benefits&gt;Enroll in Benefits&gt;Spending Accounts</w:t>
      </w:r>
    </w:p>
    <w:p w:rsidR="006643E6" w:rsidRDefault="006643E6" w:rsidP="006643E6">
      <w:pPr>
        <w:rPr>
          <w:b/>
        </w:rPr>
      </w:pPr>
    </w:p>
    <w:p w:rsidR="006643E6" w:rsidRDefault="006643E6" w:rsidP="006643E6">
      <w:pPr>
        <w:rPr>
          <w:b/>
        </w:rPr>
      </w:pPr>
      <w:r>
        <w:rPr>
          <w:b/>
        </w:rPr>
        <w:t>FOR FACULTY THAT WORK IN THE SUMMER (PT or other), the deduction/reduction WILL be taken out. FOR THOSE THAT DO NOT WORK DURING THE SUMMER, have payroll NOT TAKE RETRO DEDUCTIONS/REDUCTION.</w:t>
      </w:r>
    </w:p>
    <w:p w:rsidR="006643E6" w:rsidRDefault="006643E6" w:rsidP="006643E6">
      <w:pPr>
        <w:rPr>
          <w:b/>
        </w:rPr>
      </w:pPr>
    </w:p>
    <w:p w:rsidR="006643E6" w:rsidRPr="00EF1490" w:rsidRDefault="006643E6" w:rsidP="006643E6">
      <w:pPr>
        <w:rPr>
          <w:b/>
        </w:rPr>
      </w:pPr>
      <w:r w:rsidRPr="00EF1490">
        <w:rPr>
          <w:b/>
        </w:rPr>
        <w:t>Enrolling</w:t>
      </w:r>
      <w:r>
        <w:rPr>
          <w:b/>
        </w:rPr>
        <w:t xml:space="preserve"> in </w:t>
      </w:r>
      <w:r w:rsidR="00F100F3">
        <w:rPr>
          <w:b/>
        </w:rPr>
        <w:t xml:space="preserve">HSA, </w:t>
      </w:r>
      <w:r>
        <w:rPr>
          <w:b/>
        </w:rPr>
        <w:t>FSA or DCAP</w:t>
      </w:r>
      <w:r w:rsidRPr="00EF1490">
        <w:rPr>
          <w:b/>
        </w:rPr>
        <w:t>:</w:t>
      </w:r>
    </w:p>
    <w:p w:rsidR="006643E6" w:rsidRDefault="006643E6" w:rsidP="006643E6">
      <w:r>
        <w:t>For new enrollment for full time employee (24 payments (20 for FT faculty – 19 for PT faculty?)-Jan 10 through Dec 25 – Coverage Begin Date and Deduction Begin Date after 12/16), you don’t have to figure Flat Deduction Amount, however, I recommend it in case there is a change in a person’s contract, the deduction will continue to be taken.</w:t>
      </w:r>
    </w:p>
    <w:p w:rsidR="006643E6" w:rsidRDefault="006643E6" w:rsidP="006643E6"/>
    <w:p w:rsidR="006643E6" w:rsidRDefault="006643E6" w:rsidP="006643E6">
      <w:r>
        <w:t>For those with less than 24 payments, take the Annual Pledge/number of payments and put in the amount in Flat Deduction Amount Override – Optional.</w:t>
      </w:r>
    </w:p>
    <w:p w:rsidR="006643E6" w:rsidRDefault="006643E6" w:rsidP="006643E6"/>
    <w:p w:rsidR="00EC6691" w:rsidRDefault="00EC6691" w:rsidP="00EC6691">
      <w:r>
        <w:t>Choose Plan Type (HSA, FSA [FSA, specify regular or limited purpose (limited purpose is only for those with the CDHP medical plan] or DCAP), fill out Coverage, Save.</w:t>
      </w:r>
    </w:p>
    <w:p w:rsidR="006643E6" w:rsidRDefault="006643E6" w:rsidP="006643E6"/>
    <w:p w:rsidR="006643E6" w:rsidRPr="00F100F3" w:rsidRDefault="006643E6" w:rsidP="006643E6">
      <w:pPr>
        <w:rPr>
          <w:b/>
          <w:u w:val="single"/>
        </w:rPr>
      </w:pPr>
      <w:r w:rsidRPr="00F100F3">
        <w:rPr>
          <w:b/>
          <w:u w:val="single"/>
        </w:rPr>
        <w:t>Health Savings Account</w:t>
      </w:r>
    </w:p>
    <w:p w:rsidR="006643E6" w:rsidRPr="00483B0E" w:rsidRDefault="006643E6" w:rsidP="006643E6">
      <w:pPr>
        <w:rPr>
          <w:b/>
        </w:rPr>
      </w:pPr>
    </w:p>
    <w:p w:rsidR="006643E6" w:rsidRDefault="006643E6" w:rsidP="006643E6">
      <w:r>
        <w:rPr>
          <w:noProof/>
        </w:rPr>
        <w:drawing>
          <wp:inline distT="0" distB="0" distL="0" distR="0" wp14:anchorId="6BCE1137" wp14:editId="5B776C75">
            <wp:extent cx="6804660" cy="42921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15696" cy="429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3E6" w:rsidRDefault="006643E6" w:rsidP="006643E6"/>
    <w:p w:rsidR="006643E6" w:rsidRDefault="006643E6" w:rsidP="006643E6">
      <w:r>
        <w:t>The following Warning will happen. Click OK. Save.</w:t>
      </w:r>
    </w:p>
    <w:p w:rsidR="006643E6" w:rsidRDefault="006643E6" w:rsidP="006643E6"/>
    <w:p w:rsidR="006643E6" w:rsidRDefault="006643E6" w:rsidP="006643E6">
      <w:r>
        <w:rPr>
          <w:noProof/>
        </w:rPr>
        <w:drawing>
          <wp:inline distT="0" distB="0" distL="0" distR="0" wp14:anchorId="0F88998D" wp14:editId="06776FEC">
            <wp:extent cx="4602480" cy="76325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10023" cy="79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3E6" w:rsidRDefault="006643E6" w:rsidP="006643E6"/>
    <w:p w:rsidR="006643E6" w:rsidRPr="00F100F3" w:rsidRDefault="006643E6" w:rsidP="006643E6">
      <w:pPr>
        <w:rPr>
          <w:b/>
          <w:u w:val="single"/>
        </w:rPr>
      </w:pPr>
      <w:r w:rsidRPr="00F100F3">
        <w:rPr>
          <w:b/>
          <w:u w:val="single"/>
        </w:rPr>
        <w:t>Flexible Spending Accounts</w:t>
      </w:r>
    </w:p>
    <w:p w:rsidR="006643E6" w:rsidRDefault="006643E6" w:rsidP="006643E6"/>
    <w:p w:rsidR="006643E6" w:rsidRDefault="006643E6" w:rsidP="006643E6">
      <w:r>
        <w:t>For Benefit Plan, use FSA01 with the regular FSA and FSA02 for the Limited Purpose FSA.</w:t>
      </w:r>
    </w:p>
    <w:p w:rsidR="006643E6" w:rsidRDefault="006643E6" w:rsidP="006643E6"/>
    <w:p w:rsidR="006643E6" w:rsidRDefault="006643E6" w:rsidP="006643E6">
      <w:pPr>
        <w:rPr>
          <w:b/>
        </w:rPr>
      </w:pPr>
      <w:r>
        <w:rPr>
          <w:noProof/>
        </w:rPr>
        <w:drawing>
          <wp:inline distT="0" distB="0" distL="0" distR="0" wp14:anchorId="2F0D5EF7" wp14:editId="2F010658">
            <wp:extent cx="6842760" cy="5096676"/>
            <wp:effectExtent l="0" t="0" r="0" b="8890"/>
            <wp:docPr id="16" name="Picture 16" descr="C:\Users\tmarker\AppData\Local\Temp\SNAGHTML214c9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arker\AppData\Local\Temp\SNAGHTML214c96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555" cy="510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3E6" w:rsidRDefault="006643E6" w:rsidP="006643E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100F3" w:rsidRPr="00F100F3" w:rsidRDefault="00F100F3" w:rsidP="006643E6">
      <w:pPr>
        <w:rPr>
          <w:b/>
          <w:u w:val="single"/>
        </w:rPr>
      </w:pPr>
      <w:bookmarkStart w:id="1" w:name="_Hlk97992246"/>
      <w:r w:rsidRPr="00F100F3">
        <w:rPr>
          <w:b/>
          <w:u w:val="single"/>
        </w:rPr>
        <w:lastRenderedPageBreak/>
        <w:t>Dependent Care</w:t>
      </w:r>
      <w:r>
        <w:rPr>
          <w:b/>
          <w:u w:val="single"/>
        </w:rPr>
        <w:t xml:space="preserve"> Assistance Program (DCAP)</w:t>
      </w:r>
    </w:p>
    <w:p w:rsidR="00F100F3" w:rsidRDefault="00F100F3" w:rsidP="006643E6"/>
    <w:bookmarkEnd w:id="1"/>
    <w:p w:rsidR="006643E6" w:rsidRDefault="006643E6" w:rsidP="006643E6">
      <w:r>
        <w:t>If adding FSA and DCAP, Include History and Add + or arrow over to the Plan Type, add + a row for coverage and fill out Coverage, Save.</w:t>
      </w:r>
      <w:r w:rsidR="00B87CA3">
        <w:t xml:space="preserve"> Election Date can be the actual date put in.</w:t>
      </w:r>
    </w:p>
    <w:p w:rsidR="006643E6" w:rsidRDefault="006643E6" w:rsidP="006643E6">
      <w:pPr>
        <w:rPr>
          <w:b/>
        </w:rPr>
      </w:pPr>
    </w:p>
    <w:p w:rsidR="006643E6" w:rsidRDefault="006643E6" w:rsidP="006643E6">
      <w:pPr>
        <w:rPr>
          <w:b/>
        </w:rPr>
      </w:pPr>
      <w:r>
        <w:rPr>
          <w:noProof/>
        </w:rPr>
        <w:drawing>
          <wp:inline distT="0" distB="0" distL="0" distR="0" wp14:anchorId="555D24ED" wp14:editId="715E7275">
            <wp:extent cx="6890702" cy="4381500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98880" cy="43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67E" w:rsidRDefault="0085367E"/>
    <w:p w:rsidR="00EC6691" w:rsidRDefault="00EC6691">
      <w:pPr>
        <w:spacing w:after="160" w:line="259" w:lineRule="auto"/>
      </w:pPr>
      <w:r>
        <w:br w:type="page"/>
      </w:r>
    </w:p>
    <w:p w:rsidR="00EC6691" w:rsidRDefault="00830BBB" w:rsidP="00EC6691">
      <w:pPr>
        <w:rPr>
          <w:b/>
        </w:rPr>
      </w:pPr>
      <w:hyperlink r:id="rId20" w:history="1">
        <w:r w:rsidR="00863F0F" w:rsidRPr="00675DC1">
          <w:rPr>
            <w:rStyle w:val="Hyperlink"/>
            <w:b/>
          </w:rPr>
          <w:t>Retirement Plan</w:t>
        </w:r>
      </w:hyperlink>
      <w:r w:rsidR="00863F0F">
        <w:rPr>
          <w:b/>
        </w:rPr>
        <w:t xml:space="preserve">: </w:t>
      </w:r>
    </w:p>
    <w:p w:rsidR="00EC6691" w:rsidRPr="00EC6691" w:rsidRDefault="00EC6691" w:rsidP="00EC6691"/>
    <w:p w:rsidR="00EC6691" w:rsidRDefault="00EC6691" w:rsidP="00EC6691">
      <w:r w:rsidRPr="00EC6691">
        <w:rPr>
          <w:b/>
        </w:rPr>
        <w:t>Note:</w:t>
      </w:r>
      <w:r>
        <w:t xml:space="preserve"> for the SBRP, you will need to know the employees age.</w:t>
      </w:r>
    </w:p>
    <w:p w:rsidR="00EC6691" w:rsidRDefault="00EC6691" w:rsidP="00EC6691"/>
    <w:p w:rsidR="00AE5238" w:rsidRDefault="00AE5238" w:rsidP="00AE5238">
      <w:pPr>
        <w:rPr>
          <w:rStyle w:val="Hyperlink"/>
        </w:rPr>
      </w:pPr>
      <w:r w:rsidRPr="00AE5238">
        <w:rPr>
          <w:b/>
        </w:rPr>
        <w:t>Dates are very important and must be the same on both the Retirement Plan and Retirement Fields pages.</w:t>
      </w:r>
      <w:r>
        <w:t xml:space="preserve"> </w:t>
      </w:r>
      <w:hyperlink r:id="rId21" w:history="1">
        <w:r w:rsidRPr="004051A1">
          <w:rPr>
            <w:rStyle w:val="Hyperlink"/>
          </w:rPr>
          <w:t>See QRG Dates on Retirement Plan Pages.</w:t>
        </w:r>
      </w:hyperlink>
    </w:p>
    <w:p w:rsidR="00AE5238" w:rsidRDefault="00AE5238" w:rsidP="00AE5238"/>
    <w:p w:rsidR="00863F0F" w:rsidRPr="00863F0F" w:rsidRDefault="00416505" w:rsidP="00EC6691">
      <w:r w:rsidRPr="00416505">
        <w:t>Add</w:t>
      </w:r>
      <w:r w:rsidR="00863F0F">
        <w:t xml:space="preserve"> Plan Type, Deduction Begin Date</w:t>
      </w:r>
      <w:r>
        <w:t>, Election Date (DATES MUST BE THE SAME</w:t>
      </w:r>
      <w:r w:rsidR="00DC4EE5">
        <w:t>-NEVER CHANGE THE ELECTION DATE IF THERE IS A PRIOR DATE…DRS wants only one Election Date</w:t>
      </w:r>
      <w:r>
        <w:t xml:space="preserve">) </w:t>
      </w:r>
      <w:r w:rsidR="00863F0F">
        <w:t>and Benefit Plan</w:t>
      </w:r>
      <w:r w:rsidR="00675DC1">
        <w:t>, Save.</w:t>
      </w:r>
    </w:p>
    <w:p w:rsidR="009921B2" w:rsidRDefault="009921B2"/>
    <w:p w:rsidR="009921B2" w:rsidRDefault="009921B2" w:rsidP="006D7507">
      <w:r>
        <w:t xml:space="preserve">If the Payroll Status is “Terminated,” you must go to </w:t>
      </w:r>
      <w:r w:rsidR="006D7507" w:rsidRPr="00830BBB">
        <w:rPr>
          <w:color w:val="4472C4" w:themeColor="accent1"/>
        </w:rPr>
        <w:t>Benefits</w:t>
      </w:r>
      <w:r w:rsidR="00830BBB" w:rsidRPr="00830BBB">
        <w:rPr>
          <w:color w:val="4472C4" w:themeColor="accent1"/>
        </w:rPr>
        <w:t>&gt;</w:t>
      </w:r>
      <w:r w:rsidR="006D7507" w:rsidRPr="00830BBB">
        <w:rPr>
          <w:color w:val="4472C4" w:themeColor="accent1"/>
        </w:rPr>
        <w:t>Maintain P</w:t>
      </w:r>
      <w:bookmarkStart w:id="2" w:name="_GoBack"/>
      <w:bookmarkEnd w:id="2"/>
      <w:r w:rsidR="006D7507" w:rsidRPr="00830BBB">
        <w:rPr>
          <w:color w:val="4472C4" w:themeColor="accent1"/>
        </w:rPr>
        <w:t>rimary Jobs</w:t>
      </w:r>
      <w:r w:rsidR="00830BBB" w:rsidRPr="00830BBB">
        <w:rPr>
          <w:color w:val="4472C4" w:themeColor="accent1"/>
        </w:rPr>
        <w:t>&gt;</w:t>
      </w:r>
      <w:r w:rsidR="006D7507" w:rsidRPr="00830BBB">
        <w:rPr>
          <w:color w:val="4472C4" w:themeColor="accent1"/>
        </w:rPr>
        <w:t>Maintain Flags</w:t>
      </w:r>
      <w:r w:rsidR="00D452C3" w:rsidRPr="00830BBB">
        <w:rPr>
          <w:color w:val="4472C4" w:themeColor="accent1"/>
        </w:rPr>
        <w:t xml:space="preserve"> </w:t>
      </w:r>
      <w:r>
        <w:t>and change the Primary Job Flag to the correct Empl Record.</w:t>
      </w:r>
      <w:r w:rsidR="00830BBB">
        <w:t xml:space="preserve"> See Benefits-Maintain Primary Flags documentation.</w:t>
      </w:r>
    </w:p>
    <w:p w:rsidR="009921B2" w:rsidRPr="00EC6691" w:rsidRDefault="009921B2"/>
    <w:p w:rsidR="0085367E" w:rsidRPr="0085367E" w:rsidRDefault="0085367E">
      <w:pPr>
        <w:rPr>
          <w:b/>
        </w:rPr>
      </w:pPr>
      <w:r w:rsidRPr="0085367E">
        <w:rPr>
          <w:b/>
        </w:rPr>
        <w:t>Retirement Plan</w:t>
      </w:r>
    </w:p>
    <w:p w:rsidR="0085367E" w:rsidRDefault="0085367E"/>
    <w:p w:rsidR="0085367E" w:rsidRDefault="004C0208">
      <w:r>
        <w:rPr>
          <w:noProof/>
        </w:rPr>
        <w:drawing>
          <wp:inline distT="0" distB="0" distL="0" distR="0" wp14:anchorId="53B7F4CB" wp14:editId="5D63E3AA">
            <wp:extent cx="6324600" cy="284724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38941" cy="285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505" w:rsidRDefault="00416505" w:rsidP="00EC6691">
      <w:pPr>
        <w:rPr>
          <w:b/>
        </w:rPr>
      </w:pPr>
    </w:p>
    <w:p w:rsidR="00416505" w:rsidRDefault="00416505" w:rsidP="00416505">
      <w:pPr>
        <w:rPr>
          <w:b/>
        </w:rPr>
      </w:pPr>
      <w:r w:rsidRPr="00C02271">
        <w:rPr>
          <w:b/>
        </w:rPr>
        <w:t xml:space="preserve">Enter </w:t>
      </w:r>
      <w:r>
        <w:rPr>
          <w:b/>
        </w:rPr>
        <w:t>R</w:t>
      </w:r>
      <w:r w:rsidRPr="00C02271">
        <w:rPr>
          <w:b/>
        </w:rPr>
        <w:t>etirement</w:t>
      </w:r>
      <w:r w:rsidR="007A65A0">
        <w:rPr>
          <w:b/>
        </w:rPr>
        <w:t xml:space="preserve"> Fields</w:t>
      </w:r>
    </w:p>
    <w:p w:rsidR="00416505" w:rsidRPr="00AA7E16" w:rsidRDefault="00416505" w:rsidP="00416505">
      <w:pPr>
        <w:rPr>
          <w:color w:val="4472C4" w:themeColor="accent1"/>
        </w:rPr>
      </w:pPr>
      <w:r w:rsidRPr="00AA7E16">
        <w:rPr>
          <w:color w:val="4472C4" w:themeColor="accent1"/>
        </w:rPr>
        <w:t>Nav&gt;Benefits/CTC Custom/Retirement Fields</w:t>
      </w:r>
    </w:p>
    <w:p w:rsidR="00AA7E16" w:rsidRDefault="00AA7E16" w:rsidP="00AA7E16"/>
    <w:p w:rsidR="00AA7E16" w:rsidRDefault="00A62E79" w:rsidP="00AA7E16">
      <w:r>
        <w:t>If this is the first time on retirement</w:t>
      </w:r>
      <w:r w:rsidR="00EC0852">
        <w:t xml:space="preserve">, </w:t>
      </w:r>
      <w:r w:rsidR="004F193D">
        <w:t>a</w:t>
      </w:r>
      <w:r w:rsidR="00EC0852">
        <w:t xml:space="preserve">dd a New Value AND choose the correct </w:t>
      </w:r>
      <w:r>
        <w:t xml:space="preserve">Empl </w:t>
      </w:r>
      <w:r w:rsidR="00EC0852">
        <w:t xml:space="preserve">ID. </w:t>
      </w:r>
      <w:r w:rsidR="00AA7E16">
        <w:t>Add the Effective Date, DRS Option, DRS Option Date, and Retirement Plan Effective Date, Save.</w:t>
      </w:r>
    </w:p>
    <w:p w:rsidR="00416505" w:rsidRDefault="00416505" w:rsidP="00416505"/>
    <w:p w:rsidR="00D9352D" w:rsidRDefault="00D9352D" w:rsidP="00416505">
      <w:pPr>
        <w:rPr>
          <w:b/>
        </w:rPr>
      </w:pPr>
      <w:r w:rsidRPr="00931725">
        <w:rPr>
          <w:b/>
          <w:color w:val="FF0000"/>
        </w:rPr>
        <w:t>THIS IS FOR DRS</w:t>
      </w:r>
      <w:r w:rsidR="00931725" w:rsidRPr="00931725">
        <w:rPr>
          <w:b/>
          <w:color w:val="FF0000"/>
        </w:rPr>
        <w:t xml:space="preserve"> PLANS ONLY</w:t>
      </w:r>
      <w:r w:rsidR="00931725">
        <w:rPr>
          <w:b/>
          <w:color w:val="FF0000"/>
        </w:rPr>
        <w:t xml:space="preserve"> (nothing needed for TIAA)</w:t>
      </w:r>
    </w:p>
    <w:p w:rsidR="00931725" w:rsidRPr="00931725" w:rsidRDefault="00931725" w:rsidP="00416505">
      <w:pPr>
        <w:rPr>
          <w:b/>
        </w:rPr>
      </w:pPr>
    </w:p>
    <w:p w:rsidR="00416505" w:rsidRDefault="00D567F3" w:rsidP="00416505">
      <w:r>
        <w:rPr>
          <w:noProof/>
        </w:rPr>
        <w:lastRenderedPageBreak/>
        <w:drawing>
          <wp:inline distT="0" distB="0" distL="0" distR="0" wp14:anchorId="0D62F4C9" wp14:editId="3A31E663">
            <wp:extent cx="6233882" cy="26898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72945" cy="270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505" w:rsidRDefault="00416505" w:rsidP="00416505"/>
    <w:p w:rsidR="00B45CDD" w:rsidRPr="005B1F7D" w:rsidRDefault="00B45CDD" w:rsidP="00B45CDD">
      <w:pPr>
        <w:rPr>
          <w:b/>
        </w:rPr>
      </w:pPr>
      <w:r w:rsidRPr="005B1F7D">
        <w:rPr>
          <w:b/>
        </w:rPr>
        <w:t>DRS Transaction</w:t>
      </w:r>
    </w:p>
    <w:p w:rsidR="00B45CDD" w:rsidRPr="005B1F7D" w:rsidRDefault="00B45CDD" w:rsidP="00B45CDD">
      <w:pPr>
        <w:rPr>
          <w:color w:val="4472C4" w:themeColor="accent1"/>
        </w:rPr>
      </w:pPr>
      <w:r w:rsidRPr="005B1F7D">
        <w:rPr>
          <w:color w:val="4472C4" w:themeColor="accent1"/>
        </w:rPr>
        <w:t>Nav&gt;Benefits&gt;CTC Custom&gt;DRS Transaction</w:t>
      </w:r>
    </w:p>
    <w:p w:rsidR="00B45CDD" w:rsidRDefault="00B45CDD" w:rsidP="00B45CDD"/>
    <w:p w:rsidR="00B45CDD" w:rsidRDefault="00B45CDD" w:rsidP="00B45CDD">
      <w:r>
        <w:t>Payroll takes care of this page…thank goodness.</w:t>
      </w:r>
    </w:p>
    <w:p w:rsidR="00C931CB" w:rsidRDefault="00C931CB"/>
    <w:p w:rsidR="009C65B9" w:rsidRDefault="009C65B9" w:rsidP="009C65B9">
      <w:r>
        <w:t>How do the retirement plans get updated for the different ages?  It’s an automatic process, E-188, that is run by Central Payroll each pay cycle.</w:t>
      </w:r>
    </w:p>
    <w:p w:rsidR="009C65B9" w:rsidRDefault="009C65B9"/>
    <w:p w:rsidR="007B5A8B" w:rsidRDefault="0080361B">
      <w:pPr>
        <w:rPr>
          <w:b/>
        </w:rPr>
      </w:pPr>
      <w:r w:rsidRPr="0080361B">
        <w:rPr>
          <w:b/>
        </w:rPr>
        <w:t xml:space="preserve">BE SURE to let payroll know about benefits </w:t>
      </w:r>
      <w:r w:rsidR="007B5A8B">
        <w:rPr>
          <w:b/>
        </w:rPr>
        <w:t xml:space="preserve">if the deductions are late or are changed </w:t>
      </w:r>
      <w:r w:rsidRPr="0080361B">
        <w:rPr>
          <w:b/>
        </w:rPr>
        <w:t>so they can make sure the deductions are taken out correctly.</w:t>
      </w:r>
      <w:r w:rsidR="007B5A8B">
        <w:rPr>
          <w:b/>
        </w:rPr>
        <w:t xml:space="preserve"> Payroll needs to know what retirement plan people are on.</w:t>
      </w:r>
    </w:p>
    <w:p w:rsidR="002060C2" w:rsidRDefault="002060C2">
      <w:pPr>
        <w:rPr>
          <w:b/>
        </w:rPr>
      </w:pPr>
    </w:p>
    <w:p w:rsidR="002060C2" w:rsidRPr="002060C2" w:rsidRDefault="002060C2">
      <w:r w:rsidRPr="002060C2">
        <w:t xml:space="preserve">That’s it! </w:t>
      </w:r>
      <w:r w:rsidRPr="002060C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060C2" w:rsidRPr="002060C2" w:rsidSect="008A47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3EC" w:rsidRDefault="004D03EC" w:rsidP="004A65E1">
      <w:r>
        <w:separator/>
      </w:r>
    </w:p>
  </w:endnote>
  <w:endnote w:type="continuationSeparator" w:id="0">
    <w:p w:rsidR="004D03EC" w:rsidRDefault="004D03EC" w:rsidP="004A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3EC" w:rsidRDefault="004D03EC" w:rsidP="004A65E1">
      <w:r>
        <w:separator/>
      </w:r>
    </w:p>
  </w:footnote>
  <w:footnote w:type="continuationSeparator" w:id="0">
    <w:p w:rsidR="004D03EC" w:rsidRDefault="004D03EC" w:rsidP="004A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C688F"/>
    <w:multiLevelType w:val="hybridMultilevel"/>
    <w:tmpl w:val="11A8A3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9"/>
  </w:num>
  <w:num w:numId="11">
    <w:abstractNumId w:val="9"/>
  </w:num>
  <w:num w:numId="12">
    <w:abstractNumId w:val="4"/>
  </w:num>
  <w:num w:numId="13">
    <w:abstractNumId w:val="1"/>
  </w:num>
  <w:num w:numId="14">
    <w:abstractNumId w:val="9"/>
  </w:num>
  <w:num w:numId="15">
    <w:abstractNumId w:val="9"/>
  </w:num>
  <w:num w:numId="16">
    <w:abstractNumId w:val="9"/>
  </w:num>
  <w:num w:numId="17">
    <w:abstractNumId w:val="10"/>
  </w:num>
  <w:num w:numId="18">
    <w:abstractNumId w:val="4"/>
  </w:num>
  <w:num w:numId="19">
    <w:abstractNumId w:val="1"/>
  </w:num>
  <w:num w:numId="20">
    <w:abstractNumId w:val="10"/>
  </w:num>
  <w:num w:numId="21">
    <w:abstractNumId w:val="4"/>
  </w:num>
  <w:num w:numId="22">
    <w:abstractNumId w:val="4"/>
  </w:num>
  <w:num w:numId="23">
    <w:abstractNumId w:val="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C4"/>
    <w:rsid w:val="00026CF1"/>
    <w:rsid w:val="00093DDE"/>
    <w:rsid w:val="000C1797"/>
    <w:rsid w:val="000E4EC4"/>
    <w:rsid w:val="00100E47"/>
    <w:rsid w:val="00114A5A"/>
    <w:rsid w:val="00142AC8"/>
    <w:rsid w:val="001754BA"/>
    <w:rsid w:val="0018346B"/>
    <w:rsid w:val="001E4FFA"/>
    <w:rsid w:val="001F0D74"/>
    <w:rsid w:val="002060C2"/>
    <w:rsid w:val="002435A1"/>
    <w:rsid w:val="002478CC"/>
    <w:rsid w:val="00252ACF"/>
    <w:rsid w:val="002662A9"/>
    <w:rsid w:val="00272566"/>
    <w:rsid w:val="002854C3"/>
    <w:rsid w:val="00305450"/>
    <w:rsid w:val="00324DB0"/>
    <w:rsid w:val="0035054D"/>
    <w:rsid w:val="0039046B"/>
    <w:rsid w:val="00394A8B"/>
    <w:rsid w:val="003B4FCD"/>
    <w:rsid w:val="003D684B"/>
    <w:rsid w:val="00416505"/>
    <w:rsid w:val="00440864"/>
    <w:rsid w:val="00464BBC"/>
    <w:rsid w:val="004664C2"/>
    <w:rsid w:val="0049722B"/>
    <w:rsid w:val="004A65E1"/>
    <w:rsid w:val="004B160C"/>
    <w:rsid w:val="004C0208"/>
    <w:rsid w:val="004D03EC"/>
    <w:rsid w:val="004E4D9D"/>
    <w:rsid w:val="004F193D"/>
    <w:rsid w:val="00503135"/>
    <w:rsid w:val="0050578E"/>
    <w:rsid w:val="00513779"/>
    <w:rsid w:val="00557E37"/>
    <w:rsid w:val="00563F36"/>
    <w:rsid w:val="0059445D"/>
    <w:rsid w:val="005C1212"/>
    <w:rsid w:val="006314AC"/>
    <w:rsid w:val="006643E6"/>
    <w:rsid w:val="006652B1"/>
    <w:rsid w:val="00666C6A"/>
    <w:rsid w:val="00675DC1"/>
    <w:rsid w:val="006A09D5"/>
    <w:rsid w:val="006D7507"/>
    <w:rsid w:val="0070443F"/>
    <w:rsid w:val="0075399B"/>
    <w:rsid w:val="007A65A0"/>
    <w:rsid w:val="007B5A8B"/>
    <w:rsid w:val="0080361B"/>
    <w:rsid w:val="0081585F"/>
    <w:rsid w:val="00830BBB"/>
    <w:rsid w:val="0085367E"/>
    <w:rsid w:val="00862A9A"/>
    <w:rsid w:val="00863F0F"/>
    <w:rsid w:val="008A4793"/>
    <w:rsid w:val="00916A0F"/>
    <w:rsid w:val="00931725"/>
    <w:rsid w:val="009921B2"/>
    <w:rsid w:val="009C65B9"/>
    <w:rsid w:val="009F73B2"/>
    <w:rsid w:val="00A3337D"/>
    <w:rsid w:val="00A62E79"/>
    <w:rsid w:val="00A63F14"/>
    <w:rsid w:val="00A923DD"/>
    <w:rsid w:val="00AA7E16"/>
    <w:rsid w:val="00AD1273"/>
    <w:rsid w:val="00AD606E"/>
    <w:rsid w:val="00AE5238"/>
    <w:rsid w:val="00AF42BA"/>
    <w:rsid w:val="00B0659A"/>
    <w:rsid w:val="00B45CDD"/>
    <w:rsid w:val="00B46093"/>
    <w:rsid w:val="00B5033D"/>
    <w:rsid w:val="00B87CA3"/>
    <w:rsid w:val="00BC3AEC"/>
    <w:rsid w:val="00BD1EDE"/>
    <w:rsid w:val="00C02DC0"/>
    <w:rsid w:val="00C07EE6"/>
    <w:rsid w:val="00C24FAF"/>
    <w:rsid w:val="00C931CB"/>
    <w:rsid w:val="00CC5283"/>
    <w:rsid w:val="00CF427A"/>
    <w:rsid w:val="00D452C3"/>
    <w:rsid w:val="00D567F3"/>
    <w:rsid w:val="00D6376D"/>
    <w:rsid w:val="00D720EE"/>
    <w:rsid w:val="00D9352D"/>
    <w:rsid w:val="00DA72C4"/>
    <w:rsid w:val="00DC4EE5"/>
    <w:rsid w:val="00DF4E65"/>
    <w:rsid w:val="00E02497"/>
    <w:rsid w:val="00E14050"/>
    <w:rsid w:val="00E27AFE"/>
    <w:rsid w:val="00E51584"/>
    <w:rsid w:val="00E5489B"/>
    <w:rsid w:val="00E85B67"/>
    <w:rsid w:val="00E91BD4"/>
    <w:rsid w:val="00EC0852"/>
    <w:rsid w:val="00EC6691"/>
    <w:rsid w:val="00ED3FAD"/>
    <w:rsid w:val="00F100F3"/>
    <w:rsid w:val="00F12248"/>
    <w:rsid w:val="00F12FB1"/>
    <w:rsid w:val="00F2233E"/>
    <w:rsid w:val="00F33F01"/>
    <w:rsid w:val="00F4669E"/>
    <w:rsid w:val="00F533C4"/>
    <w:rsid w:val="00F55673"/>
    <w:rsid w:val="00F72F5A"/>
    <w:rsid w:val="00F74E1E"/>
    <w:rsid w:val="00F96FC2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BB111E1"/>
  <w15:chartTrackingRefBased/>
  <w15:docId w15:val="{BF5B39F4-4320-4EB9-8430-8E2394EA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F7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tclinkreferencecenter.ctclink.us/m/79717/l/1060240-9-2-enrolling-an-employee-into-savings-plans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://ctclinkreferencecenter.ctclink.us/m/79717/l/928112-9-2-dates-on-retirement-plan-page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ctclinkreferencecenter.ctclink.us/m/79717/l/928073-9-2-enrolling-an-employee-in-a-retirement-pl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tclinkreferencecenter.ctclink.us/m/79717/l/928075-9-2-enrolling-an-employee-in-spending-accounts" TargetMode="External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ctclinkreferencecenter.ctclink.us/m/79717/l/928071-9-2-enrolling-an-employee-in-a-disability-plan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9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26</cp:revision>
  <dcterms:created xsi:type="dcterms:W3CDTF">2021-05-24T19:23:00Z</dcterms:created>
  <dcterms:modified xsi:type="dcterms:W3CDTF">2022-04-13T18:41:00Z</dcterms:modified>
</cp:coreProperties>
</file>